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line="240" w:lineRule="auto"/>
        <w:jc w:val="both"/>
        <w:rPr>
          <w:rFonts w:ascii="Times New Roman" w:hAnsi="Times New Roman" w:cs="Times New Roman"/>
          <w:b/>
          <w:bCs/>
          <w:color w:val="5B9BD5" w:themeColor="accent1"/>
          <w14:textFill>
            <w14:solidFill>
              <w14:schemeClr w14:val="accent1"/>
            </w14:solidFill>
          </w14:textFill>
        </w:rPr>
      </w:pPr>
      <w:r>
        <w:rPr>
          <w:rFonts w:hint="eastAsia" w:ascii="Times New Roman" w:hAnsi="Times New Roman" w:eastAsia="宋体"/>
          <w:kern w:val="0"/>
          <w:lang w:eastAsia="zh-CN"/>
          <w14:ligatures w14:val="none"/>
        </w:rPr>
        <w:t>List of Supplementary Tables</w:t>
      </w:r>
    </w:p>
    <w:p>
      <w:pPr>
        <w:autoSpaceDE w:val="0"/>
        <w:autoSpaceDN w:val="0"/>
        <w:adjustRightInd w:val="0"/>
        <w:spacing w:after="0" w:line="240" w:lineRule="auto"/>
        <w:ind w:firstLine="360" w:firstLineChars="200"/>
        <w:jc w:val="both"/>
        <w:rPr>
          <w:rFonts w:ascii="Times New Roman" w:hAnsi="Times New Roman" w:eastAsia="Times New Roman" w:cs="Times New Roman"/>
          <w:kern w:val="0"/>
          <w:sz w:val="18"/>
          <w:szCs w:val="18"/>
          <w:lang w:bidi="ar-SA"/>
          <w14:ligatures w14:val="none"/>
        </w:rPr>
      </w:pPr>
    </w:p>
    <w:p>
      <w:pPr>
        <w:autoSpaceDE w:val="0"/>
        <w:autoSpaceDN w:val="0"/>
        <w:adjustRightInd w:val="0"/>
        <w:spacing w:after="0" w:line="240" w:lineRule="auto"/>
        <w:jc w:val="both"/>
        <w:rPr>
          <w:rFonts w:ascii="Times New Roman" w:hAnsi="Times New Roman" w:eastAsia="Times New Roman" w:cs="Times New Roman"/>
          <w:kern w:val="0"/>
          <w:sz w:val="18"/>
          <w:szCs w:val="18"/>
          <w:lang w:bidi="ar-SA"/>
          <w14:ligatures w14:val="none"/>
        </w:rPr>
      </w:pPr>
      <w:r>
        <w:rPr>
          <w:rFonts w:hint="default" w:ascii="Times New Roman Bold" w:hAnsi="Times New Roman Bold" w:eastAsia="Times New Roman" w:cs="Times New Roman Bold"/>
          <w:b/>
          <w:bCs/>
          <w:kern w:val="0"/>
          <w:sz w:val="18"/>
          <w:szCs w:val="18"/>
          <w:lang w:bidi="ar-SA"/>
          <w14:ligatures w14:val="none"/>
        </w:rPr>
        <w:t>Su</w:t>
      </w:r>
      <w:r>
        <w:rPr>
          <w:rFonts w:hint="default" w:ascii="Times New Roman Bold" w:hAnsi="Times New Roman Bold" w:eastAsia="宋体" w:cs="Times New Roman Bold"/>
          <w:b/>
          <w:bCs/>
          <w:kern w:val="0"/>
          <w:sz w:val="18"/>
          <w:szCs w:val="18"/>
          <w:lang w:val="en-US" w:eastAsia="zh-CN" w:bidi="ar-SA"/>
          <w14:ligatures w14:val="none"/>
        </w:rPr>
        <w:t>p</w:t>
      </w:r>
      <w:r>
        <w:rPr>
          <w:rFonts w:hint="default" w:ascii="Times New Roman Bold" w:hAnsi="Times New Roman Bold" w:eastAsia="Times New Roman" w:cs="Times New Roman Bold"/>
          <w:b/>
          <w:bCs/>
          <w:kern w:val="0"/>
          <w:sz w:val="18"/>
          <w:szCs w:val="18"/>
          <w:lang w:bidi="ar-SA"/>
          <w14:ligatures w14:val="none"/>
        </w:rPr>
        <w:t>pl</w:t>
      </w:r>
      <w:r>
        <w:rPr>
          <w:rFonts w:hint="default" w:ascii="Times New Roman Bold" w:hAnsi="Times New Roman Bold" w:eastAsia="宋体" w:cs="Times New Roman Bold"/>
          <w:b/>
          <w:bCs/>
          <w:kern w:val="0"/>
          <w:sz w:val="18"/>
          <w:szCs w:val="18"/>
          <w:lang w:val="en-US" w:eastAsia="zh-CN" w:bidi="ar-SA"/>
          <w14:ligatures w14:val="none"/>
        </w:rPr>
        <w:t>ementary</w:t>
      </w:r>
      <w:r>
        <w:rPr>
          <w:rFonts w:hint="default" w:ascii="Times New Roman Bold" w:hAnsi="Times New Roman Bold" w:eastAsia="Times New Roman" w:cs="Times New Roman Bold"/>
          <w:b/>
          <w:bCs/>
          <w:kern w:val="0"/>
          <w:sz w:val="18"/>
          <w:szCs w:val="18"/>
          <w:lang w:bidi="ar-SA"/>
          <w14:ligatures w14:val="none"/>
        </w:rPr>
        <w:t xml:space="preserve"> </w:t>
      </w:r>
      <w:r>
        <w:rPr>
          <w:rFonts w:hint="default" w:ascii="Times New Roman Bold" w:hAnsi="Times New Roman Bold" w:eastAsia="宋体" w:cs="Times New Roman Bold"/>
          <w:b/>
          <w:bCs/>
          <w:kern w:val="0"/>
          <w:sz w:val="18"/>
          <w:szCs w:val="18"/>
          <w:lang w:val="en-US" w:eastAsia="zh-CN" w:bidi="ar-SA"/>
          <w14:ligatures w14:val="none"/>
        </w:rPr>
        <w:t>T</w:t>
      </w:r>
      <w:r>
        <w:rPr>
          <w:rFonts w:hint="default" w:ascii="Times New Roman Bold" w:hAnsi="Times New Roman Bold" w:eastAsia="Times New Roman" w:cs="Times New Roman Bold"/>
          <w:b/>
          <w:bCs/>
          <w:kern w:val="0"/>
          <w:sz w:val="18"/>
          <w:szCs w:val="18"/>
          <w:lang w:bidi="ar-SA"/>
          <w14:ligatures w14:val="none"/>
        </w:rPr>
        <w:t xml:space="preserve">able </w:t>
      </w:r>
      <w:r>
        <w:rPr>
          <w:rFonts w:hint="default" w:ascii="Times New Roman Bold" w:hAnsi="Times New Roman Bold" w:eastAsia="Times New Roman" w:cs="Times New Roman Bold"/>
          <w:b/>
          <w:bCs/>
          <w:kern w:val="0"/>
          <w:sz w:val="18"/>
          <w:szCs w:val="18"/>
          <w:lang w:bidi="ar-SA"/>
          <w14:ligatures w14:val="none"/>
        </w:rPr>
        <w:fldChar w:fldCharType="begin"/>
      </w:r>
      <w:r>
        <w:rPr>
          <w:rFonts w:hint="default" w:ascii="Times New Roman Bold" w:hAnsi="Times New Roman Bold" w:eastAsia="Times New Roman" w:cs="Times New Roman Bold"/>
          <w:b/>
          <w:bCs/>
          <w:kern w:val="0"/>
          <w:sz w:val="18"/>
          <w:szCs w:val="18"/>
          <w:lang w:bidi="ar-SA"/>
          <w14:ligatures w14:val="none"/>
        </w:rPr>
        <w:instrText xml:space="preserve"> SEQ Table \* ARABIC </w:instrText>
      </w:r>
      <w:r>
        <w:rPr>
          <w:rFonts w:hint="default" w:ascii="Times New Roman Bold" w:hAnsi="Times New Roman Bold" w:eastAsia="Times New Roman" w:cs="Times New Roman Bold"/>
          <w:b/>
          <w:bCs/>
          <w:kern w:val="0"/>
          <w:sz w:val="18"/>
          <w:szCs w:val="18"/>
          <w:lang w:bidi="ar-SA"/>
          <w14:ligatures w14:val="none"/>
        </w:rPr>
        <w:fldChar w:fldCharType="separate"/>
      </w:r>
      <w:r>
        <w:rPr>
          <w:rFonts w:hint="default" w:ascii="Times New Roman Bold" w:hAnsi="Times New Roman Bold" w:eastAsia="Times New Roman" w:cs="Times New Roman Bold"/>
          <w:b/>
          <w:bCs/>
          <w:kern w:val="0"/>
          <w:sz w:val="18"/>
          <w:szCs w:val="18"/>
          <w:lang w:bidi="ar-SA"/>
          <w14:ligatures w14:val="none"/>
        </w:rPr>
        <w:t>1</w:t>
      </w:r>
      <w:r>
        <w:rPr>
          <w:rFonts w:hint="default" w:ascii="Times New Roman Bold" w:hAnsi="Times New Roman Bold" w:eastAsia="Times New Roman" w:cs="Times New Roman Bold"/>
          <w:b/>
          <w:bCs/>
          <w:kern w:val="0"/>
          <w:sz w:val="18"/>
          <w:szCs w:val="18"/>
          <w:lang w:bidi="ar-SA"/>
          <w14:ligatures w14:val="none"/>
        </w:rPr>
        <w:fldChar w:fldCharType="end"/>
      </w:r>
      <w:r>
        <w:rPr>
          <w:rFonts w:hint="default" w:ascii="Times New Roman Bold" w:hAnsi="Times New Roman Bold" w:eastAsia="Times New Roman" w:cs="Times New Roman Bold"/>
          <w:b/>
          <w:bCs/>
          <w:kern w:val="0"/>
          <w:sz w:val="18"/>
          <w:szCs w:val="18"/>
          <w:lang w:bidi="ar-SA"/>
          <w14:ligatures w14:val="none"/>
        </w:rPr>
        <w:t>.</w:t>
      </w:r>
      <w:r>
        <w:rPr>
          <w:rFonts w:ascii="Times New Roman" w:hAnsi="Times New Roman" w:eastAsia="Times New Roman" w:cs="Times New Roman"/>
          <w:kern w:val="0"/>
          <w:sz w:val="18"/>
          <w:szCs w:val="18"/>
          <w:lang w:bidi="ar-SA"/>
          <w14:ligatures w14:val="none"/>
        </w:rPr>
        <w:t xml:space="preserve"> Table of Selected Phytochemicals with Favorable Drug-Likeness Properties: A MolSoft Drug-Likeness score &gt; 0.50, molecular weight (MW) &lt; 500 g/mol, and an Oral Bioavailability Score &gt; 0.50.</w:t>
      </w:r>
    </w:p>
    <w:p>
      <w:pPr>
        <w:autoSpaceDE w:val="0"/>
        <w:autoSpaceDN w:val="0"/>
        <w:adjustRightInd w:val="0"/>
        <w:spacing w:after="0" w:line="240" w:lineRule="auto"/>
        <w:jc w:val="both"/>
        <w:rPr>
          <w:rFonts w:ascii="Times New Roman" w:hAnsi="Times New Roman" w:eastAsia="Times New Roman" w:cs="Times New Roman"/>
          <w:kern w:val="0"/>
          <w:sz w:val="18"/>
          <w:szCs w:val="18"/>
          <w:lang w:bidi="ar-SA"/>
          <w14:ligatures w14:val="none"/>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4"/>
        <w:gridCol w:w="1523"/>
        <w:gridCol w:w="1718"/>
        <w:gridCol w:w="1415"/>
        <w:gridCol w:w="2826"/>
      </w:tblGrid>
      <w:tr>
        <w:tc>
          <w:tcPr>
            <w:tcW w:w="1130" w:type="pct"/>
            <w:vAlign w:val="center"/>
          </w:tcPr>
          <w:p>
            <w:pPr>
              <w:spacing w:after="0" w:line="36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Phytochemical name</w:t>
            </w:r>
          </w:p>
        </w:tc>
        <w:tc>
          <w:tcPr>
            <w:tcW w:w="831" w:type="pct"/>
            <w:vAlign w:val="center"/>
          </w:tcPr>
          <w:p>
            <w:pPr>
              <w:spacing w:after="0" w:line="36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color w:val="212529"/>
                <w:sz w:val="18"/>
                <w:szCs w:val="18"/>
              </w:rPr>
              <w:t>Drug-likeness score</w:t>
            </w:r>
          </w:p>
        </w:tc>
        <w:tc>
          <w:tcPr>
            <w:tcW w:w="933" w:type="pct"/>
            <w:vAlign w:val="center"/>
          </w:tcPr>
          <w:p>
            <w:pPr>
              <w:spacing w:after="0" w:line="36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color w:val="000000"/>
                <w:sz w:val="18"/>
                <w:szCs w:val="18"/>
              </w:rPr>
              <w:t>Bioavailability score</w:t>
            </w:r>
          </w:p>
        </w:tc>
        <w:tc>
          <w:tcPr>
            <w:tcW w:w="775" w:type="pct"/>
            <w:vAlign w:val="center"/>
          </w:tcPr>
          <w:p>
            <w:pPr>
              <w:spacing w:after="0" w:line="36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color w:val="000000"/>
                <w:sz w:val="18"/>
                <w:szCs w:val="18"/>
              </w:rPr>
              <w:t>Molecular Weight (MW)</w:t>
            </w:r>
          </w:p>
        </w:tc>
        <w:tc>
          <w:tcPr>
            <w:tcW w:w="1331" w:type="pct"/>
            <w:vAlign w:val="center"/>
          </w:tcPr>
          <w:p>
            <w:pPr>
              <w:spacing w:after="0" w:line="36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2D Structure</w:t>
            </w:r>
          </w:p>
          <w:p>
            <w:pPr>
              <w:spacing w:after="0" w:line="360" w:lineRule="auto"/>
              <w:jc w:val="center"/>
              <w:rPr>
                <w:rFonts w:hint="default" w:ascii="Times New Roman Regular" w:hAnsi="Times New Roman Regular" w:cs="Times New Roman Regular"/>
                <w:b/>
                <w:bCs/>
                <w:sz w:val="18"/>
                <w:szCs w:val="18"/>
              </w:rPr>
            </w:pPr>
          </w:p>
        </w:tc>
      </w:tr>
      <w:tr>
        <w:trPr>
          <w:trHeight w:val="1304" w:hRule="atLeast"/>
        </w:trPr>
        <w:tc>
          <w:tcPr>
            <w:tcW w:w="1130"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fldChar w:fldCharType="begin"/>
            </w:r>
            <w:r>
              <w:rPr>
                <w:rFonts w:hint="default" w:ascii="Times New Roman Regular" w:hAnsi="Times New Roman Regular" w:cs="Times New Roman Regular"/>
                <w:sz w:val="18"/>
                <w:szCs w:val="18"/>
              </w:rPr>
              <w:instrText xml:space="preserve"> HYPERLINK "https://cb.imsc.res.in/imppat/phytochemical-detailedpage/IMPHY006750" </w:instrText>
            </w:r>
            <w:r>
              <w:rPr>
                <w:rFonts w:hint="default" w:ascii="Times New Roman Regular" w:hAnsi="Times New Roman Regular" w:cs="Times New Roman Regular"/>
                <w:sz w:val="18"/>
                <w:szCs w:val="18"/>
              </w:rPr>
              <w:fldChar w:fldCharType="separate"/>
            </w:r>
            <w:r>
              <w:rPr>
                <w:rStyle w:val="9"/>
                <w:rFonts w:hint="default" w:ascii="Times New Roman Regular" w:hAnsi="Times New Roman Regular" w:cs="Times New Roman Regular"/>
                <w:sz w:val="18"/>
                <w:szCs w:val="18"/>
              </w:rPr>
              <w:t>Hesperetin</w:t>
            </w:r>
            <w:r>
              <w:rPr>
                <w:rStyle w:val="9"/>
                <w:rFonts w:hint="default" w:ascii="Times New Roman Regular" w:hAnsi="Times New Roman Regular" w:cs="Times New Roman Regular"/>
                <w:sz w:val="18"/>
                <w:szCs w:val="18"/>
              </w:rPr>
              <w:fldChar w:fldCharType="end"/>
            </w:r>
          </w:p>
        </w:tc>
        <w:tc>
          <w:tcPr>
            <w:tcW w:w="831"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0.59</w:t>
            </w:r>
          </w:p>
        </w:tc>
        <w:tc>
          <w:tcPr>
            <w:tcW w:w="933"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0.55</w:t>
            </w:r>
          </w:p>
        </w:tc>
        <w:tc>
          <w:tcPr>
            <w:tcW w:w="775"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302 g/mol</w:t>
            </w:r>
          </w:p>
        </w:tc>
        <w:tc>
          <w:tcPr>
            <w:tcW w:w="1331" w:type="pct"/>
          </w:tcPr>
          <w:p>
            <w:pPr>
              <w:spacing w:after="0" w:line="360" w:lineRule="auto"/>
              <w:jc w:val="both"/>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drawing>
                <wp:inline distT="0" distB="0" distL="0" distR="0">
                  <wp:extent cx="1487170" cy="774700"/>
                  <wp:effectExtent l="0" t="0" r="0" b="0"/>
                  <wp:docPr id="2090139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39486" name="Pictur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49957" cy="807886"/>
                          </a:xfrm>
                          <a:prstGeom prst="rect">
                            <a:avLst/>
                          </a:prstGeom>
                        </pic:spPr>
                      </pic:pic>
                    </a:graphicData>
                  </a:graphic>
                </wp:inline>
              </w:drawing>
            </w:r>
          </w:p>
        </w:tc>
      </w:tr>
      <w:tr>
        <w:trPr>
          <w:trHeight w:val="1304" w:hRule="atLeast"/>
        </w:trPr>
        <w:tc>
          <w:tcPr>
            <w:tcW w:w="1130"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fldChar w:fldCharType="begin"/>
            </w:r>
            <w:r>
              <w:rPr>
                <w:rFonts w:hint="default" w:ascii="Times New Roman Regular" w:hAnsi="Times New Roman Regular" w:cs="Times New Roman Regular"/>
                <w:sz w:val="18"/>
                <w:szCs w:val="18"/>
              </w:rPr>
              <w:instrText xml:space="preserve"> HYPERLINK "https://cb.imsc.res.in/imppat/phytochemical-detailedpage/IMPHY014854" </w:instrText>
            </w:r>
            <w:r>
              <w:rPr>
                <w:rFonts w:hint="default" w:ascii="Times New Roman Regular" w:hAnsi="Times New Roman Regular" w:cs="Times New Roman Regular"/>
                <w:sz w:val="18"/>
                <w:szCs w:val="18"/>
              </w:rPr>
              <w:fldChar w:fldCharType="separate"/>
            </w:r>
            <w:r>
              <w:rPr>
                <w:rStyle w:val="9"/>
                <w:rFonts w:hint="default" w:ascii="Times New Roman Regular" w:hAnsi="Times New Roman Regular" w:cs="Times New Roman Regular"/>
                <w:sz w:val="18"/>
                <w:szCs w:val="18"/>
              </w:rPr>
              <w:t>Cianidanol</w:t>
            </w:r>
            <w:r>
              <w:rPr>
                <w:rStyle w:val="9"/>
                <w:rFonts w:hint="default" w:ascii="Times New Roman Regular" w:hAnsi="Times New Roman Regular" w:cs="Times New Roman Regular"/>
                <w:sz w:val="18"/>
                <w:szCs w:val="18"/>
              </w:rPr>
              <w:fldChar w:fldCharType="end"/>
            </w:r>
          </w:p>
        </w:tc>
        <w:tc>
          <w:tcPr>
            <w:tcW w:w="831"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0.64</w:t>
            </w:r>
          </w:p>
        </w:tc>
        <w:tc>
          <w:tcPr>
            <w:tcW w:w="933"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0.55</w:t>
            </w:r>
          </w:p>
        </w:tc>
        <w:tc>
          <w:tcPr>
            <w:tcW w:w="775"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290 g/mol</w:t>
            </w:r>
          </w:p>
        </w:tc>
        <w:tc>
          <w:tcPr>
            <w:tcW w:w="1331" w:type="pct"/>
          </w:tcPr>
          <w:p>
            <w:pPr>
              <w:spacing w:after="0" w:line="360" w:lineRule="auto"/>
              <w:jc w:val="both"/>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drawing>
                <wp:anchor distT="0" distB="0" distL="114300" distR="114300" simplePos="0" relativeHeight="251659264" behindDoc="0" locked="0" layoutInCell="1" allowOverlap="1">
                  <wp:simplePos x="0" y="0"/>
                  <wp:positionH relativeFrom="column">
                    <wp:posOffset>-3175</wp:posOffset>
                  </wp:positionH>
                  <wp:positionV relativeFrom="paragraph">
                    <wp:posOffset>2540</wp:posOffset>
                  </wp:positionV>
                  <wp:extent cx="1388745" cy="1562100"/>
                  <wp:effectExtent l="0" t="0" r="1905" b="0"/>
                  <wp:wrapSquare wrapText="bothSides"/>
                  <wp:docPr id="18085248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524847"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rot="10800000" flipH="1">
                            <a:off x="0" y="0"/>
                            <a:ext cx="1388745" cy="1562100"/>
                          </a:xfrm>
                          <a:prstGeom prst="rect">
                            <a:avLst/>
                          </a:prstGeom>
                        </pic:spPr>
                      </pic:pic>
                    </a:graphicData>
                  </a:graphic>
                </wp:anchor>
              </w:drawing>
            </w:r>
          </w:p>
        </w:tc>
      </w:tr>
      <w:tr>
        <w:trPr>
          <w:trHeight w:val="1304" w:hRule="atLeast"/>
        </w:trPr>
        <w:tc>
          <w:tcPr>
            <w:tcW w:w="1130"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fldChar w:fldCharType="begin"/>
            </w:r>
            <w:r>
              <w:rPr>
                <w:rFonts w:hint="default" w:ascii="Times New Roman Regular" w:hAnsi="Times New Roman Regular" w:cs="Times New Roman Regular"/>
                <w:sz w:val="18"/>
                <w:szCs w:val="18"/>
              </w:rPr>
              <w:instrText xml:space="preserve"> HYPERLINK "https://cb.imsc.res.in/imppat/phytochemical-detailedpage/IMPHY003661" </w:instrText>
            </w:r>
            <w:r>
              <w:rPr>
                <w:rFonts w:hint="default" w:ascii="Times New Roman Regular" w:hAnsi="Times New Roman Regular" w:cs="Times New Roman Regular"/>
                <w:sz w:val="18"/>
                <w:szCs w:val="18"/>
              </w:rPr>
              <w:fldChar w:fldCharType="separate"/>
            </w:r>
            <w:r>
              <w:rPr>
                <w:rStyle w:val="9"/>
                <w:rFonts w:hint="default" w:ascii="Times New Roman Regular" w:hAnsi="Times New Roman Regular" w:cs="Times New Roman Regular"/>
                <w:sz w:val="18"/>
                <w:szCs w:val="18"/>
              </w:rPr>
              <w:t>24-Methylenecholesterol</w:t>
            </w:r>
            <w:r>
              <w:rPr>
                <w:rStyle w:val="9"/>
                <w:rFonts w:hint="default" w:ascii="Times New Roman Regular" w:hAnsi="Times New Roman Regular" w:cs="Times New Roman Regular"/>
                <w:sz w:val="18"/>
                <w:szCs w:val="18"/>
              </w:rPr>
              <w:fldChar w:fldCharType="end"/>
            </w:r>
          </w:p>
        </w:tc>
        <w:tc>
          <w:tcPr>
            <w:tcW w:w="831"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0.51</w:t>
            </w:r>
          </w:p>
        </w:tc>
        <w:tc>
          <w:tcPr>
            <w:tcW w:w="933"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0.55</w:t>
            </w:r>
          </w:p>
        </w:tc>
        <w:tc>
          <w:tcPr>
            <w:tcW w:w="775"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398 g/mol</w:t>
            </w:r>
          </w:p>
        </w:tc>
        <w:tc>
          <w:tcPr>
            <w:tcW w:w="1331" w:type="pct"/>
          </w:tcPr>
          <w:p>
            <w:pPr>
              <w:spacing w:after="0" w:line="360" w:lineRule="auto"/>
              <w:jc w:val="both"/>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drawing>
                <wp:inline distT="0" distB="0" distL="0" distR="0">
                  <wp:extent cx="1573530" cy="1000760"/>
                  <wp:effectExtent l="0" t="0" r="0" b="8890"/>
                  <wp:docPr id="13898018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801809"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4821" cy="1033567"/>
                          </a:xfrm>
                          <a:prstGeom prst="rect">
                            <a:avLst/>
                          </a:prstGeom>
                        </pic:spPr>
                      </pic:pic>
                    </a:graphicData>
                  </a:graphic>
                </wp:inline>
              </w:drawing>
            </w:r>
          </w:p>
        </w:tc>
      </w:tr>
      <w:tr>
        <w:trPr>
          <w:trHeight w:val="1304" w:hRule="atLeast"/>
        </w:trPr>
        <w:tc>
          <w:tcPr>
            <w:tcW w:w="1130"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fldChar w:fldCharType="begin"/>
            </w:r>
            <w:r>
              <w:rPr>
                <w:rFonts w:hint="default" w:ascii="Times New Roman Regular" w:hAnsi="Times New Roman Regular" w:cs="Times New Roman Regular"/>
                <w:sz w:val="18"/>
                <w:szCs w:val="18"/>
              </w:rPr>
              <w:instrText xml:space="preserve"> HYPERLINK "https://cb.imsc.res.in/imppat/phytochemical-detailedpage/IMPHY007308" </w:instrText>
            </w:r>
            <w:r>
              <w:rPr>
                <w:rFonts w:hint="default" w:ascii="Times New Roman Regular" w:hAnsi="Times New Roman Regular" w:cs="Times New Roman Regular"/>
                <w:sz w:val="18"/>
                <w:szCs w:val="18"/>
              </w:rPr>
              <w:fldChar w:fldCharType="separate"/>
            </w:r>
            <w:r>
              <w:rPr>
                <w:rStyle w:val="9"/>
                <w:rFonts w:hint="default" w:ascii="Times New Roman Regular" w:hAnsi="Times New Roman Regular" w:cs="Times New Roman Regular"/>
                <w:sz w:val="18"/>
                <w:szCs w:val="18"/>
              </w:rPr>
              <w:t>28-Isoavenasterol acetate</w:t>
            </w:r>
            <w:r>
              <w:rPr>
                <w:rStyle w:val="9"/>
                <w:rFonts w:hint="default" w:ascii="Times New Roman Regular" w:hAnsi="Times New Roman Regular" w:cs="Times New Roman Regular"/>
                <w:sz w:val="18"/>
                <w:szCs w:val="18"/>
              </w:rPr>
              <w:fldChar w:fldCharType="end"/>
            </w:r>
          </w:p>
        </w:tc>
        <w:tc>
          <w:tcPr>
            <w:tcW w:w="831"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1.2</w:t>
            </w:r>
          </w:p>
        </w:tc>
        <w:tc>
          <w:tcPr>
            <w:tcW w:w="933"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0.55</w:t>
            </w:r>
          </w:p>
        </w:tc>
        <w:tc>
          <w:tcPr>
            <w:tcW w:w="775"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468.8 g/mol</w:t>
            </w:r>
          </w:p>
        </w:tc>
        <w:tc>
          <w:tcPr>
            <w:tcW w:w="1331" w:type="pct"/>
          </w:tcPr>
          <w:p>
            <w:pPr>
              <w:spacing w:after="0" w:line="360" w:lineRule="auto"/>
              <w:jc w:val="both"/>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drawing>
                <wp:inline distT="0" distB="0" distL="0" distR="0">
                  <wp:extent cx="1649730" cy="937260"/>
                  <wp:effectExtent l="0" t="0" r="7620" b="0"/>
                  <wp:docPr id="12092086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08642"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1084" cy="972357"/>
                          </a:xfrm>
                          <a:prstGeom prst="rect">
                            <a:avLst/>
                          </a:prstGeom>
                        </pic:spPr>
                      </pic:pic>
                    </a:graphicData>
                  </a:graphic>
                </wp:inline>
              </w:drawing>
            </w:r>
          </w:p>
        </w:tc>
      </w:tr>
      <w:tr>
        <w:trPr>
          <w:trHeight w:val="1304" w:hRule="atLeast"/>
        </w:trPr>
        <w:tc>
          <w:tcPr>
            <w:tcW w:w="1130"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fldChar w:fldCharType="begin"/>
            </w:r>
            <w:r>
              <w:rPr>
                <w:rFonts w:hint="default" w:ascii="Times New Roman Regular" w:hAnsi="Times New Roman Regular" w:cs="Times New Roman Regular"/>
                <w:sz w:val="18"/>
                <w:szCs w:val="18"/>
              </w:rPr>
              <w:instrText xml:space="preserve"> HYPERLINK "https://cb.imsc.res.in/imppat/phytochemical-detailedpage/IMPHY012402" </w:instrText>
            </w:r>
            <w:r>
              <w:rPr>
                <w:rFonts w:hint="default" w:ascii="Times New Roman Regular" w:hAnsi="Times New Roman Regular" w:cs="Times New Roman Regular"/>
                <w:sz w:val="18"/>
                <w:szCs w:val="18"/>
              </w:rPr>
              <w:fldChar w:fldCharType="separate"/>
            </w:r>
            <w:r>
              <w:rPr>
                <w:rStyle w:val="9"/>
                <w:rFonts w:hint="default" w:ascii="Times New Roman Regular" w:hAnsi="Times New Roman Regular" w:cs="Times New Roman Regular"/>
                <w:sz w:val="18"/>
                <w:szCs w:val="18"/>
              </w:rPr>
              <w:t>Campesterol</w:t>
            </w:r>
            <w:r>
              <w:rPr>
                <w:rStyle w:val="9"/>
                <w:rFonts w:hint="default" w:ascii="Times New Roman Regular" w:hAnsi="Times New Roman Regular" w:cs="Times New Roman Regular"/>
                <w:sz w:val="18"/>
                <w:szCs w:val="18"/>
              </w:rPr>
              <w:fldChar w:fldCharType="end"/>
            </w:r>
          </w:p>
        </w:tc>
        <w:tc>
          <w:tcPr>
            <w:tcW w:w="831"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0.59</w:t>
            </w:r>
          </w:p>
        </w:tc>
        <w:tc>
          <w:tcPr>
            <w:tcW w:w="933"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0.55</w:t>
            </w:r>
          </w:p>
        </w:tc>
        <w:tc>
          <w:tcPr>
            <w:tcW w:w="775"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400.7 g/mol</w:t>
            </w:r>
          </w:p>
        </w:tc>
        <w:tc>
          <w:tcPr>
            <w:tcW w:w="1331" w:type="pct"/>
          </w:tcPr>
          <w:p>
            <w:pPr>
              <w:spacing w:after="0" w:line="360" w:lineRule="auto"/>
              <w:jc w:val="both"/>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drawing>
                <wp:inline distT="0" distB="0" distL="0" distR="0">
                  <wp:extent cx="1574800" cy="954405"/>
                  <wp:effectExtent l="0" t="0" r="0" b="0"/>
                  <wp:docPr id="17692264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226471" name="Picture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8667" cy="993255"/>
                          </a:xfrm>
                          <a:prstGeom prst="rect">
                            <a:avLst/>
                          </a:prstGeom>
                        </pic:spPr>
                      </pic:pic>
                    </a:graphicData>
                  </a:graphic>
                </wp:inline>
              </w:drawing>
            </w:r>
          </w:p>
        </w:tc>
      </w:tr>
      <w:tr>
        <w:trPr>
          <w:trHeight w:val="1304" w:hRule="atLeast"/>
        </w:trPr>
        <w:tc>
          <w:tcPr>
            <w:tcW w:w="1130"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fldChar w:fldCharType="begin"/>
            </w:r>
            <w:r>
              <w:rPr>
                <w:rFonts w:hint="default" w:ascii="Times New Roman Regular" w:hAnsi="Times New Roman Regular" w:cs="Times New Roman Regular"/>
                <w:sz w:val="18"/>
                <w:szCs w:val="18"/>
              </w:rPr>
              <w:instrText xml:space="preserve"> HYPERLINK "https://cb.imsc.res.in/imppat/phytochemical-detailedpage/IMPHY014836" </w:instrText>
            </w:r>
            <w:r>
              <w:rPr>
                <w:rFonts w:hint="default" w:ascii="Times New Roman Regular" w:hAnsi="Times New Roman Regular" w:cs="Times New Roman Regular"/>
                <w:sz w:val="18"/>
                <w:szCs w:val="18"/>
              </w:rPr>
              <w:fldChar w:fldCharType="separate"/>
            </w:r>
            <w:r>
              <w:rPr>
                <w:rStyle w:val="9"/>
                <w:rFonts w:hint="default" w:ascii="Times New Roman Regular" w:hAnsi="Times New Roman Regular" w:cs="Times New Roman Regular"/>
                <w:sz w:val="18"/>
                <w:szCs w:val="18"/>
              </w:rPr>
              <w:t>beta-Sitosterol</w:t>
            </w:r>
            <w:r>
              <w:rPr>
                <w:rStyle w:val="9"/>
                <w:rFonts w:hint="default" w:ascii="Times New Roman Regular" w:hAnsi="Times New Roman Regular" w:cs="Times New Roman Regular"/>
                <w:sz w:val="18"/>
                <w:szCs w:val="18"/>
              </w:rPr>
              <w:fldChar w:fldCharType="end"/>
            </w:r>
          </w:p>
        </w:tc>
        <w:tc>
          <w:tcPr>
            <w:tcW w:w="831"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0.78</w:t>
            </w:r>
          </w:p>
        </w:tc>
        <w:tc>
          <w:tcPr>
            <w:tcW w:w="933"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rPr>
              <w:t>0.55</w:t>
            </w:r>
          </w:p>
        </w:tc>
        <w:tc>
          <w:tcPr>
            <w:tcW w:w="775" w:type="pct"/>
            <w:vAlign w:val="center"/>
          </w:tcPr>
          <w:p>
            <w:pPr>
              <w:spacing w:after="0" w:line="360" w:lineRule="auto"/>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414.7 g/mol</w:t>
            </w:r>
          </w:p>
        </w:tc>
        <w:tc>
          <w:tcPr>
            <w:tcW w:w="1331" w:type="pct"/>
          </w:tcPr>
          <w:p>
            <w:pPr>
              <w:spacing w:after="0" w:line="360" w:lineRule="auto"/>
              <w:jc w:val="both"/>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drawing>
                <wp:inline distT="0" distB="0" distL="0" distR="0">
                  <wp:extent cx="1546225" cy="898525"/>
                  <wp:effectExtent l="0" t="0" r="0" b="0"/>
                  <wp:docPr id="16510748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74850" name="Picture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2700" cy="914048"/>
                          </a:xfrm>
                          <a:prstGeom prst="rect">
                            <a:avLst/>
                          </a:prstGeom>
                        </pic:spPr>
                      </pic:pic>
                    </a:graphicData>
                  </a:graphic>
                </wp:inline>
              </w:drawing>
            </w:r>
          </w:p>
        </w:tc>
      </w:tr>
    </w:tbl>
    <w:p>
      <w:pPr>
        <w:spacing w:line="360" w:lineRule="auto"/>
        <w:jc w:val="both"/>
        <w:rPr>
          <w:rFonts w:ascii="Times New Roman" w:hAnsi="Times New Roman" w:cs="Times New Roman"/>
          <w:b/>
          <w:bCs/>
        </w:rPr>
      </w:pPr>
    </w:p>
    <w:p>
      <w:pPr>
        <w:spacing w:line="360" w:lineRule="auto"/>
        <w:jc w:val="both"/>
        <w:rPr>
          <w:rFonts w:ascii="Times New Roman" w:hAnsi="Times New Roman" w:cs="Times New Roman"/>
        </w:rPr>
      </w:pPr>
      <w:r>
        <w:rPr>
          <w:rFonts w:hint="default" w:ascii="Times New Roman Bold" w:hAnsi="Times New Roman Bold" w:eastAsia="Times New Roman" w:cs="Times New Roman Bold"/>
          <w:b/>
          <w:bCs/>
          <w:kern w:val="0"/>
          <w:sz w:val="18"/>
          <w:szCs w:val="18"/>
          <w:lang w:bidi="ar-SA"/>
          <w14:ligatures w14:val="none"/>
        </w:rPr>
        <w:t>Su</w:t>
      </w:r>
      <w:r>
        <w:rPr>
          <w:rFonts w:hint="default" w:ascii="Times New Roman Bold" w:hAnsi="Times New Roman Bold" w:eastAsia="宋体" w:cs="Times New Roman Bold"/>
          <w:b/>
          <w:bCs/>
          <w:kern w:val="0"/>
          <w:sz w:val="18"/>
          <w:szCs w:val="18"/>
          <w:lang w:val="en-US" w:eastAsia="zh-CN" w:bidi="ar-SA"/>
          <w14:ligatures w14:val="none"/>
        </w:rPr>
        <w:t>p</w:t>
      </w:r>
      <w:r>
        <w:rPr>
          <w:rFonts w:hint="default" w:ascii="Times New Roman Bold" w:hAnsi="Times New Roman Bold" w:eastAsia="Times New Roman" w:cs="Times New Roman Bold"/>
          <w:b/>
          <w:bCs/>
          <w:kern w:val="0"/>
          <w:sz w:val="18"/>
          <w:szCs w:val="18"/>
          <w:lang w:bidi="ar-SA"/>
          <w14:ligatures w14:val="none"/>
        </w:rPr>
        <w:t>pl</w:t>
      </w:r>
      <w:r>
        <w:rPr>
          <w:rFonts w:hint="default" w:ascii="Times New Roman Bold" w:hAnsi="Times New Roman Bold" w:eastAsia="宋体" w:cs="Times New Roman Bold"/>
          <w:b/>
          <w:bCs/>
          <w:kern w:val="0"/>
          <w:sz w:val="18"/>
          <w:szCs w:val="18"/>
          <w:lang w:val="en-US" w:eastAsia="zh-CN" w:bidi="ar-SA"/>
          <w14:ligatures w14:val="none"/>
        </w:rPr>
        <w:t>ementary</w:t>
      </w:r>
      <w:r>
        <w:rPr>
          <w:rFonts w:hint="default" w:ascii="Times New Roman Bold" w:hAnsi="Times New Roman Bold" w:eastAsia="Times New Roman" w:cs="Times New Roman Bold"/>
          <w:b/>
          <w:bCs/>
          <w:kern w:val="0"/>
          <w:sz w:val="18"/>
          <w:szCs w:val="18"/>
          <w:lang w:bidi="ar-SA"/>
          <w14:ligatures w14:val="none"/>
        </w:rPr>
        <w:t xml:space="preserve"> </w:t>
      </w:r>
      <w:r>
        <w:rPr>
          <w:rFonts w:hint="default" w:ascii="Times New Roman Bold" w:hAnsi="Times New Roman Bold" w:eastAsia="宋体" w:cs="Times New Roman Bold"/>
          <w:b/>
          <w:bCs/>
          <w:kern w:val="0"/>
          <w:sz w:val="18"/>
          <w:szCs w:val="18"/>
          <w:lang w:val="en-US" w:eastAsia="zh-CN" w:bidi="ar-SA"/>
          <w14:ligatures w14:val="none"/>
        </w:rPr>
        <w:t>T</w:t>
      </w:r>
      <w:r>
        <w:rPr>
          <w:rFonts w:hint="default" w:ascii="Times New Roman Bold" w:hAnsi="Times New Roman Bold" w:eastAsia="Times New Roman" w:cs="Times New Roman Bold"/>
          <w:b/>
          <w:bCs/>
          <w:kern w:val="0"/>
          <w:sz w:val="18"/>
          <w:szCs w:val="18"/>
          <w:lang w:bidi="ar-SA"/>
          <w14:ligatures w14:val="none"/>
        </w:rPr>
        <w:t>able 2</w:t>
      </w:r>
      <w:r>
        <w:rPr>
          <w:rFonts w:hint="default" w:ascii="Times New Roman Bold" w:hAnsi="Times New Roman Bold" w:eastAsia="宋体" w:cs="Times New Roman Bold"/>
          <w:b/>
          <w:bCs/>
          <w:kern w:val="0"/>
          <w:sz w:val="18"/>
          <w:szCs w:val="18"/>
          <w:lang w:val="en-US" w:eastAsia="zh-CN" w:bidi="ar-SA"/>
          <w14:ligatures w14:val="none"/>
        </w:rPr>
        <w:t>.</w:t>
      </w:r>
      <w:r>
        <w:rPr>
          <w:rFonts w:hint="eastAsia" w:ascii="Times New Roman" w:hAnsi="Times New Roman" w:eastAsia="宋体" w:cs="Times New Roman"/>
          <w:kern w:val="0"/>
          <w:sz w:val="18"/>
          <w:szCs w:val="18"/>
          <w:lang w:val="en-US" w:eastAsia="zh-CN" w:bidi="ar-SA"/>
          <w14:ligatures w14:val="none"/>
        </w:rPr>
        <w:t xml:space="preserve"> </w:t>
      </w:r>
      <w:r>
        <w:rPr>
          <w:rFonts w:ascii="Times New Roman" w:hAnsi="Times New Roman" w:eastAsia="Times New Roman" w:cs="Times New Roman"/>
          <w:kern w:val="0"/>
          <w:sz w:val="18"/>
          <w:szCs w:val="18"/>
          <w:lang w:bidi="ar-SA"/>
          <w14:ligatures w14:val="none"/>
        </w:rPr>
        <w:t>Top 10 Protein Interactions Ranked by Degree Method</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1"/>
        <w:gridCol w:w="3907"/>
        <w:gridCol w:w="3838"/>
      </w:tblGrid>
      <w:tr>
        <w:tc>
          <w:tcPr>
            <w:tcW w:w="956" w:type="pct"/>
            <w:vAlign w:val="center"/>
          </w:tcPr>
          <w:p>
            <w:pPr>
              <w:spacing w:after="160"/>
              <w:jc w:val="center"/>
              <w:rPr>
                <w:rFonts w:hint="default" w:ascii="Times New Roman Bold" w:hAnsi="Times New Roman Bold" w:cs="Times New Roman Bold"/>
                <w:b/>
                <w:bCs/>
                <w:sz w:val="18"/>
                <w:szCs w:val="18"/>
              </w:rPr>
            </w:pPr>
            <w:r>
              <w:rPr>
                <w:rFonts w:hint="default" w:ascii="Times New Roman Bold" w:hAnsi="Times New Roman Bold" w:cs="Times New Roman Bold"/>
                <w:b/>
                <w:sz w:val="18"/>
                <w:szCs w:val="18"/>
              </w:rPr>
              <w:t>Rank</w:t>
            </w:r>
          </w:p>
        </w:tc>
        <w:tc>
          <w:tcPr>
            <w:tcW w:w="2040" w:type="pct"/>
            <w:vAlign w:val="center"/>
          </w:tcPr>
          <w:p>
            <w:pPr>
              <w:spacing w:after="160"/>
              <w:jc w:val="center"/>
              <w:rPr>
                <w:rFonts w:hint="default" w:ascii="Times New Roman Bold" w:hAnsi="Times New Roman Bold" w:cs="Times New Roman Bold"/>
                <w:b/>
                <w:bCs/>
                <w:sz w:val="18"/>
                <w:szCs w:val="18"/>
              </w:rPr>
            </w:pPr>
            <w:r>
              <w:rPr>
                <w:rFonts w:hint="default" w:ascii="Times New Roman Bold" w:hAnsi="Times New Roman Bold" w:cs="Times New Roman Bold"/>
                <w:b/>
                <w:sz w:val="18"/>
                <w:szCs w:val="18"/>
              </w:rPr>
              <w:t>Protein Name</w:t>
            </w:r>
          </w:p>
        </w:tc>
        <w:tc>
          <w:tcPr>
            <w:tcW w:w="2004" w:type="pct"/>
            <w:vAlign w:val="center"/>
          </w:tcPr>
          <w:p>
            <w:pPr>
              <w:spacing w:after="160"/>
              <w:jc w:val="center"/>
              <w:rPr>
                <w:rFonts w:hint="default" w:ascii="Times New Roman Bold" w:hAnsi="Times New Roman Bold" w:cs="Times New Roman Bold"/>
                <w:b/>
                <w:bCs/>
                <w:sz w:val="18"/>
                <w:szCs w:val="18"/>
              </w:rPr>
            </w:pPr>
            <w:r>
              <w:rPr>
                <w:rFonts w:hint="default" w:ascii="Times New Roman Bold" w:hAnsi="Times New Roman Bold" w:cs="Times New Roman Bold"/>
                <w:b/>
                <w:sz w:val="18"/>
                <w:szCs w:val="18"/>
              </w:rPr>
              <w:t>Degree Score</w:t>
            </w:r>
          </w:p>
        </w:tc>
      </w:tr>
      <w:tr>
        <w:tc>
          <w:tcPr>
            <w:tcW w:w="956"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w:t>
            </w:r>
          </w:p>
        </w:tc>
        <w:tc>
          <w:tcPr>
            <w:tcW w:w="204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HSP90AA1</w:t>
            </w:r>
          </w:p>
        </w:tc>
        <w:tc>
          <w:tcPr>
            <w:tcW w:w="2004"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57</w:t>
            </w:r>
          </w:p>
        </w:tc>
      </w:tr>
      <w:tr>
        <w:tc>
          <w:tcPr>
            <w:tcW w:w="956"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2</w:t>
            </w:r>
          </w:p>
        </w:tc>
        <w:tc>
          <w:tcPr>
            <w:tcW w:w="204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SRC</w:t>
            </w:r>
          </w:p>
        </w:tc>
        <w:tc>
          <w:tcPr>
            <w:tcW w:w="2004"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53</w:t>
            </w:r>
          </w:p>
        </w:tc>
      </w:tr>
      <w:tr>
        <w:tc>
          <w:tcPr>
            <w:tcW w:w="956"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3</w:t>
            </w:r>
          </w:p>
        </w:tc>
        <w:tc>
          <w:tcPr>
            <w:tcW w:w="204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STAT3</w:t>
            </w:r>
          </w:p>
        </w:tc>
        <w:tc>
          <w:tcPr>
            <w:tcW w:w="2004"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45</w:t>
            </w:r>
          </w:p>
        </w:tc>
      </w:tr>
      <w:tr>
        <w:tc>
          <w:tcPr>
            <w:tcW w:w="956"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4</w:t>
            </w:r>
          </w:p>
        </w:tc>
        <w:tc>
          <w:tcPr>
            <w:tcW w:w="204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MAPK1</w:t>
            </w:r>
          </w:p>
        </w:tc>
        <w:tc>
          <w:tcPr>
            <w:tcW w:w="2004"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41</w:t>
            </w:r>
          </w:p>
        </w:tc>
      </w:tr>
      <w:tr>
        <w:tc>
          <w:tcPr>
            <w:tcW w:w="956"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5</w:t>
            </w:r>
          </w:p>
        </w:tc>
        <w:tc>
          <w:tcPr>
            <w:tcW w:w="204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ESR1</w:t>
            </w:r>
          </w:p>
        </w:tc>
        <w:tc>
          <w:tcPr>
            <w:tcW w:w="2004"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39</w:t>
            </w:r>
          </w:p>
        </w:tc>
      </w:tr>
      <w:tr>
        <w:tc>
          <w:tcPr>
            <w:tcW w:w="956"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6</w:t>
            </w:r>
          </w:p>
        </w:tc>
        <w:tc>
          <w:tcPr>
            <w:tcW w:w="204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ARRB2</w:t>
            </w:r>
          </w:p>
        </w:tc>
        <w:tc>
          <w:tcPr>
            <w:tcW w:w="2004"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38</w:t>
            </w:r>
          </w:p>
        </w:tc>
      </w:tr>
      <w:tr>
        <w:tc>
          <w:tcPr>
            <w:tcW w:w="956"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7</w:t>
            </w:r>
          </w:p>
        </w:tc>
        <w:tc>
          <w:tcPr>
            <w:tcW w:w="204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BRD4</w:t>
            </w:r>
          </w:p>
        </w:tc>
        <w:tc>
          <w:tcPr>
            <w:tcW w:w="2004"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33</w:t>
            </w:r>
          </w:p>
        </w:tc>
      </w:tr>
      <w:tr>
        <w:tc>
          <w:tcPr>
            <w:tcW w:w="956"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8</w:t>
            </w:r>
          </w:p>
        </w:tc>
        <w:tc>
          <w:tcPr>
            <w:tcW w:w="204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MDM2</w:t>
            </w:r>
          </w:p>
        </w:tc>
        <w:tc>
          <w:tcPr>
            <w:tcW w:w="2004"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32</w:t>
            </w:r>
          </w:p>
        </w:tc>
      </w:tr>
      <w:tr>
        <w:tc>
          <w:tcPr>
            <w:tcW w:w="956"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9</w:t>
            </w:r>
          </w:p>
        </w:tc>
        <w:tc>
          <w:tcPr>
            <w:tcW w:w="204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NR3C1</w:t>
            </w:r>
          </w:p>
        </w:tc>
        <w:tc>
          <w:tcPr>
            <w:tcW w:w="2004"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31</w:t>
            </w:r>
          </w:p>
        </w:tc>
      </w:tr>
      <w:tr>
        <w:tc>
          <w:tcPr>
            <w:tcW w:w="956"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10</w:t>
            </w:r>
          </w:p>
        </w:tc>
        <w:tc>
          <w:tcPr>
            <w:tcW w:w="204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HIF1A</w:t>
            </w:r>
          </w:p>
        </w:tc>
        <w:tc>
          <w:tcPr>
            <w:tcW w:w="2004"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31</w:t>
            </w:r>
          </w:p>
        </w:tc>
      </w:tr>
    </w:tbl>
    <w:p>
      <w:pPr>
        <w:spacing w:line="360" w:lineRule="auto"/>
        <w:jc w:val="both"/>
        <w:rPr>
          <w:rFonts w:ascii="Times New Roman" w:hAnsi="Times New Roman" w:eastAsia="Times New Roman" w:cs="Times New Roman"/>
          <w:kern w:val="0"/>
          <w:sz w:val="18"/>
          <w:szCs w:val="18"/>
          <w:lang w:bidi="ar-SA"/>
          <w14:ligatures w14:val="none"/>
        </w:rPr>
      </w:pPr>
    </w:p>
    <w:p>
      <w:pPr>
        <w:spacing w:line="360" w:lineRule="auto"/>
        <w:jc w:val="both"/>
        <w:rPr>
          <w:rFonts w:ascii="Times New Roman" w:hAnsi="Times New Roman" w:eastAsia="Times New Roman" w:cs="Times New Roman"/>
          <w:kern w:val="0"/>
          <w:sz w:val="18"/>
          <w:szCs w:val="18"/>
          <w:lang w:bidi="ar-SA"/>
          <w14:ligatures w14:val="none"/>
        </w:rPr>
      </w:pPr>
      <w:r>
        <w:rPr>
          <w:rFonts w:hint="default" w:ascii="Times New Roman Bold" w:hAnsi="Times New Roman Bold" w:eastAsia="Times New Roman" w:cs="Times New Roman Bold"/>
          <w:b/>
          <w:bCs/>
          <w:kern w:val="0"/>
          <w:sz w:val="18"/>
          <w:szCs w:val="18"/>
          <w:lang w:bidi="ar-SA"/>
          <w14:ligatures w14:val="none"/>
        </w:rPr>
        <w:t>Su</w:t>
      </w:r>
      <w:r>
        <w:rPr>
          <w:rFonts w:hint="default" w:ascii="Times New Roman Bold" w:hAnsi="Times New Roman Bold" w:eastAsia="宋体" w:cs="Times New Roman Bold"/>
          <w:b/>
          <w:bCs/>
          <w:kern w:val="0"/>
          <w:sz w:val="18"/>
          <w:szCs w:val="18"/>
          <w:lang w:val="en-US" w:eastAsia="zh-CN" w:bidi="ar-SA"/>
          <w14:ligatures w14:val="none"/>
        </w:rPr>
        <w:t>p</w:t>
      </w:r>
      <w:r>
        <w:rPr>
          <w:rFonts w:hint="default" w:ascii="Times New Roman Bold" w:hAnsi="Times New Roman Bold" w:eastAsia="Times New Roman" w:cs="Times New Roman Bold"/>
          <w:b/>
          <w:bCs/>
          <w:kern w:val="0"/>
          <w:sz w:val="18"/>
          <w:szCs w:val="18"/>
          <w:lang w:bidi="ar-SA"/>
          <w14:ligatures w14:val="none"/>
        </w:rPr>
        <w:t>pl</w:t>
      </w:r>
      <w:r>
        <w:rPr>
          <w:rFonts w:hint="default" w:ascii="Times New Roman Bold" w:hAnsi="Times New Roman Bold" w:eastAsia="宋体" w:cs="Times New Roman Bold"/>
          <w:b/>
          <w:bCs/>
          <w:kern w:val="0"/>
          <w:sz w:val="18"/>
          <w:szCs w:val="18"/>
          <w:lang w:val="en-US" w:eastAsia="zh-CN" w:bidi="ar-SA"/>
          <w14:ligatures w14:val="none"/>
        </w:rPr>
        <w:t>ementary</w:t>
      </w:r>
      <w:r>
        <w:rPr>
          <w:rFonts w:hint="default" w:ascii="Times New Roman Bold" w:hAnsi="Times New Roman Bold" w:eastAsia="Times New Roman" w:cs="Times New Roman Bold"/>
          <w:b/>
          <w:bCs/>
          <w:kern w:val="0"/>
          <w:sz w:val="18"/>
          <w:szCs w:val="18"/>
          <w:lang w:bidi="ar-SA"/>
          <w14:ligatures w14:val="none"/>
        </w:rPr>
        <w:t xml:space="preserve"> </w:t>
      </w:r>
      <w:r>
        <w:rPr>
          <w:rFonts w:hint="default" w:ascii="Times New Roman Bold" w:hAnsi="Times New Roman Bold" w:eastAsia="宋体" w:cs="Times New Roman Bold"/>
          <w:b/>
          <w:bCs/>
          <w:kern w:val="0"/>
          <w:sz w:val="18"/>
          <w:szCs w:val="18"/>
          <w:lang w:val="en-US" w:eastAsia="zh-CN" w:bidi="ar-SA"/>
          <w14:ligatures w14:val="none"/>
        </w:rPr>
        <w:t>T</w:t>
      </w:r>
      <w:r>
        <w:rPr>
          <w:rFonts w:hint="default" w:ascii="Times New Roman Bold" w:hAnsi="Times New Roman Bold" w:eastAsia="Times New Roman" w:cs="Times New Roman Bold"/>
          <w:b/>
          <w:bCs/>
          <w:kern w:val="0"/>
          <w:sz w:val="18"/>
          <w:szCs w:val="18"/>
          <w:lang w:bidi="ar-SA"/>
          <w14:ligatures w14:val="none"/>
        </w:rPr>
        <w:t>able</w:t>
      </w:r>
      <w:r>
        <w:rPr>
          <w:rFonts w:ascii="Times New Roman" w:hAnsi="Times New Roman" w:eastAsia="Times New Roman" w:cs="Times New Roman"/>
          <w:kern w:val="0"/>
          <w:sz w:val="18"/>
          <w:szCs w:val="18"/>
          <w:lang w:bidi="ar-SA"/>
          <w14:ligatures w14:val="none"/>
        </w:rPr>
        <w:t xml:space="preserve"> </w:t>
      </w:r>
      <w:r>
        <w:rPr>
          <w:rFonts w:hint="default" w:ascii="Times New Roman Bold" w:hAnsi="Times New Roman Bold" w:eastAsia="宋体" w:cs="Times New Roman Bold"/>
          <w:b/>
          <w:bCs/>
          <w:kern w:val="0"/>
          <w:sz w:val="18"/>
          <w:szCs w:val="18"/>
          <w:lang w:val="en-US" w:eastAsia="zh-CN" w:bidi="ar-SA"/>
          <w14:ligatures w14:val="none"/>
        </w:rPr>
        <w:t>3.</w:t>
      </w:r>
      <w:r>
        <w:rPr>
          <w:rFonts w:ascii="Times New Roman" w:hAnsi="Times New Roman" w:eastAsia="Times New Roman" w:cs="Times New Roman"/>
          <w:kern w:val="0"/>
          <w:sz w:val="18"/>
          <w:szCs w:val="18"/>
          <w:lang w:bidi="ar-SA"/>
          <w14:ligatures w14:val="none"/>
        </w:rPr>
        <w:t xml:space="preserve"> Top 10 Protein Interactions Ranked by MCC Method</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1"/>
        <w:gridCol w:w="4079"/>
        <w:gridCol w:w="3586"/>
      </w:tblGrid>
      <w:tr>
        <w:tc>
          <w:tcPr>
            <w:tcW w:w="998" w:type="pct"/>
            <w:vAlign w:val="top"/>
          </w:tcPr>
          <w:p>
            <w:pPr>
              <w:spacing w:after="160"/>
              <w:jc w:val="center"/>
              <w:rPr>
                <w:rFonts w:hint="default" w:ascii="Times New Roman Bold" w:hAnsi="Times New Roman Bold" w:cs="Times New Roman Bold"/>
                <w:b/>
                <w:bCs/>
                <w:sz w:val="18"/>
                <w:szCs w:val="18"/>
              </w:rPr>
            </w:pPr>
            <w:r>
              <w:rPr>
                <w:rFonts w:hint="default" w:ascii="Times New Roman Bold" w:hAnsi="Times New Roman Bold" w:cs="Times New Roman Bold"/>
                <w:b/>
                <w:sz w:val="18"/>
                <w:szCs w:val="18"/>
              </w:rPr>
              <w:t>Rank</w:t>
            </w:r>
          </w:p>
        </w:tc>
        <w:tc>
          <w:tcPr>
            <w:tcW w:w="2130" w:type="pct"/>
            <w:vAlign w:val="top"/>
          </w:tcPr>
          <w:p>
            <w:pPr>
              <w:spacing w:after="160"/>
              <w:jc w:val="center"/>
              <w:rPr>
                <w:rFonts w:hint="default" w:ascii="Times New Roman Bold" w:hAnsi="Times New Roman Bold" w:cs="Times New Roman Bold"/>
                <w:b/>
                <w:bCs/>
                <w:sz w:val="18"/>
                <w:szCs w:val="18"/>
              </w:rPr>
            </w:pPr>
            <w:r>
              <w:rPr>
                <w:rFonts w:hint="default" w:ascii="Times New Roman Bold" w:hAnsi="Times New Roman Bold" w:cs="Times New Roman Bold"/>
                <w:b/>
                <w:sz w:val="18"/>
                <w:szCs w:val="18"/>
              </w:rPr>
              <w:t>Protein Name</w:t>
            </w:r>
          </w:p>
        </w:tc>
        <w:tc>
          <w:tcPr>
            <w:tcW w:w="1872" w:type="pct"/>
            <w:vAlign w:val="top"/>
          </w:tcPr>
          <w:p>
            <w:pPr>
              <w:spacing w:after="160"/>
              <w:jc w:val="center"/>
              <w:rPr>
                <w:rFonts w:hint="default" w:ascii="Times New Roman Bold" w:hAnsi="Times New Roman Bold" w:cs="Times New Roman Bold"/>
                <w:b/>
                <w:bCs/>
                <w:sz w:val="18"/>
                <w:szCs w:val="18"/>
              </w:rPr>
            </w:pPr>
            <w:r>
              <w:rPr>
                <w:rFonts w:hint="default" w:ascii="Times New Roman Bold" w:hAnsi="Times New Roman Bold" w:cs="Times New Roman Bold"/>
                <w:b/>
                <w:sz w:val="18"/>
                <w:szCs w:val="18"/>
              </w:rPr>
              <w:t>MCC Score</w:t>
            </w:r>
          </w:p>
        </w:tc>
      </w:tr>
      <w:tr>
        <w:tc>
          <w:tcPr>
            <w:tcW w:w="998"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w:t>
            </w:r>
          </w:p>
        </w:tc>
        <w:tc>
          <w:tcPr>
            <w:tcW w:w="213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AR</w:t>
            </w:r>
          </w:p>
        </w:tc>
        <w:tc>
          <w:tcPr>
            <w:tcW w:w="1872"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156,694</w:t>
            </w:r>
          </w:p>
        </w:tc>
      </w:tr>
      <w:tr>
        <w:tc>
          <w:tcPr>
            <w:tcW w:w="998"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2</w:t>
            </w:r>
          </w:p>
        </w:tc>
        <w:tc>
          <w:tcPr>
            <w:tcW w:w="213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SRC</w:t>
            </w:r>
          </w:p>
        </w:tc>
        <w:tc>
          <w:tcPr>
            <w:tcW w:w="1872"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155,850</w:t>
            </w:r>
          </w:p>
        </w:tc>
      </w:tr>
      <w:tr>
        <w:tc>
          <w:tcPr>
            <w:tcW w:w="998"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3</w:t>
            </w:r>
          </w:p>
        </w:tc>
        <w:tc>
          <w:tcPr>
            <w:tcW w:w="213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ESR1</w:t>
            </w:r>
          </w:p>
        </w:tc>
        <w:tc>
          <w:tcPr>
            <w:tcW w:w="1872"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155,796</w:t>
            </w:r>
          </w:p>
        </w:tc>
      </w:tr>
      <w:tr>
        <w:tc>
          <w:tcPr>
            <w:tcW w:w="998"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4</w:t>
            </w:r>
          </w:p>
        </w:tc>
        <w:tc>
          <w:tcPr>
            <w:tcW w:w="213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HSP90AA1</w:t>
            </w:r>
          </w:p>
        </w:tc>
        <w:tc>
          <w:tcPr>
            <w:tcW w:w="1872"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155,232</w:t>
            </w:r>
          </w:p>
        </w:tc>
      </w:tr>
      <w:tr>
        <w:tc>
          <w:tcPr>
            <w:tcW w:w="998"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5</w:t>
            </w:r>
          </w:p>
        </w:tc>
        <w:tc>
          <w:tcPr>
            <w:tcW w:w="213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HIF1A</w:t>
            </w:r>
          </w:p>
        </w:tc>
        <w:tc>
          <w:tcPr>
            <w:tcW w:w="1872"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149,091</w:t>
            </w:r>
          </w:p>
        </w:tc>
      </w:tr>
      <w:tr>
        <w:tc>
          <w:tcPr>
            <w:tcW w:w="998"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6</w:t>
            </w:r>
          </w:p>
        </w:tc>
        <w:tc>
          <w:tcPr>
            <w:tcW w:w="213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MDM2</w:t>
            </w:r>
          </w:p>
        </w:tc>
        <w:tc>
          <w:tcPr>
            <w:tcW w:w="1872"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133,042</w:t>
            </w:r>
          </w:p>
        </w:tc>
      </w:tr>
      <w:tr>
        <w:tc>
          <w:tcPr>
            <w:tcW w:w="998"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7</w:t>
            </w:r>
          </w:p>
        </w:tc>
        <w:tc>
          <w:tcPr>
            <w:tcW w:w="213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PPARG</w:t>
            </w:r>
          </w:p>
        </w:tc>
        <w:tc>
          <w:tcPr>
            <w:tcW w:w="1872"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132,009</w:t>
            </w:r>
          </w:p>
        </w:tc>
      </w:tr>
      <w:tr>
        <w:tc>
          <w:tcPr>
            <w:tcW w:w="998"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8</w:t>
            </w:r>
          </w:p>
        </w:tc>
        <w:tc>
          <w:tcPr>
            <w:tcW w:w="213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STAT3</w:t>
            </w:r>
          </w:p>
        </w:tc>
        <w:tc>
          <w:tcPr>
            <w:tcW w:w="1872"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107,732</w:t>
            </w:r>
          </w:p>
        </w:tc>
      </w:tr>
      <w:tr>
        <w:tc>
          <w:tcPr>
            <w:tcW w:w="998"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9</w:t>
            </w:r>
          </w:p>
        </w:tc>
        <w:tc>
          <w:tcPr>
            <w:tcW w:w="213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MAPK1</w:t>
            </w:r>
          </w:p>
        </w:tc>
        <w:tc>
          <w:tcPr>
            <w:tcW w:w="1872"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98,832</w:t>
            </w:r>
          </w:p>
        </w:tc>
      </w:tr>
      <w:tr>
        <w:tc>
          <w:tcPr>
            <w:tcW w:w="998"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10</w:t>
            </w:r>
          </w:p>
        </w:tc>
        <w:tc>
          <w:tcPr>
            <w:tcW w:w="2130"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ESR2</w:t>
            </w:r>
          </w:p>
        </w:tc>
        <w:tc>
          <w:tcPr>
            <w:tcW w:w="1872" w:type="pct"/>
            <w:vAlign w:val="center"/>
          </w:tcPr>
          <w:p>
            <w:pPr>
              <w:spacing w:after="160"/>
              <w:jc w:val="center"/>
              <w:rPr>
                <w:rFonts w:hint="default" w:ascii="Times New Roman" w:hAnsi="Times New Roman" w:cs="Times New Roman"/>
                <w:b w:val="0"/>
                <w:bCs/>
                <w:sz w:val="18"/>
                <w:szCs w:val="18"/>
              </w:rPr>
            </w:pPr>
            <w:r>
              <w:rPr>
                <w:rFonts w:hint="default" w:ascii="Times New Roman" w:hAnsi="Times New Roman" w:cs="Times New Roman"/>
                <w:b w:val="0"/>
                <w:bCs/>
                <w:sz w:val="18"/>
                <w:szCs w:val="18"/>
              </w:rPr>
              <w:t>49,816</w:t>
            </w:r>
          </w:p>
        </w:tc>
      </w:tr>
    </w:tbl>
    <w:p>
      <w:pPr>
        <w:pStyle w:val="2"/>
        <w:spacing w:before="0" w:line="240" w:lineRule="auto"/>
        <w:jc w:val="both"/>
        <w:rPr>
          <w:rFonts w:hint="eastAsia" w:ascii="Times New Roman" w:hAnsi="Times New Roman" w:eastAsia="宋体"/>
          <w:kern w:val="0"/>
          <w:lang w:eastAsia="zh-CN"/>
          <w14:ligatures w14:val="none"/>
        </w:rPr>
      </w:pPr>
    </w:p>
    <w:p>
      <w:pPr>
        <w:pStyle w:val="2"/>
        <w:spacing w:before="0" w:line="240" w:lineRule="auto"/>
        <w:jc w:val="both"/>
        <w:rPr>
          <w:rFonts w:hint="eastAsia" w:ascii="Times New Roman" w:hAnsi="Times New Roman" w:eastAsia="宋体"/>
          <w:kern w:val="0"/>
          <w:lang w:eastAsia="zh-CN"/>
          <w14:ligatures w14:val="none"/>
        </w:rPr>
      </w:pPr>
    </w:p>
    <w:p>
      <w:pPr>
        <w:pStyle w:val="2"/>
        <w:spacing w:before="0" w:line="240" w:lineRule="auto"/>
        <w:jc w:val="both"/>
        <w:rPr>
          <w:rFonts w:hint="eastAsia" w:ascii="Times New Roman" w:hAnsi="Times New Roman" w:eastAsia="宋体"/>
          <w:kern w:val="0"/>
          <w:lang w:eastAsia="zh-CN"/>
          <w14:ligatures w14:val="none"/>
        </w:rPr>
      </w:pPr>
      <w:r>
        <w:rPr>
          <w:rFonts w:hint="eastAsia" w:ascii="Times New Roman" w:hAnsi="Times New Roman" w:eastAsia="宋体"/>
          <w:kern w:val="0"/>
          <w:lang w:eastAsia="zh-CN"/>
          <w14:ligatures w14:val="none"/>
        </w:rPr>
        <w:t xml:space="preserve">List of Supplementary </w:t>
      </w:r>
      <w:r>
        <w:rPr>
          <w:rFonts w:hint="eastAsia" w:ascii="Times New Roman" w:hAnsi="Times New Roman" w:eastAsia="宋体"/>
          <w:kern w:val="0"/>
          <w:lang w:val="en-US" w:eastAsia="zh-CN"/>
          <w14:ligatures w14:val="none"/>
        </w:rPr>
        <w:t>Figure</w:t>
      </w:r>
      <w:r>
        <w:rPr>
          <w:rFonts w:hint="eastAsia" w:ascii="Times New Roman" w:hAnsi="Times New Roman" w:eastAsia="宋体"/>
          <w:kern w:val="0"/>
          <w:lang w:eastAsia="zh-CN"/>
          <w14:ligatures w14:val="none"/>
        </w:rPr>
        <w:t>s</w:t>
      </w:r>
    </w:p>
    <w:p/>
    <w:p>
      <w:pPr>
        <w:keepNext/>
        <w:spacing w:line="360" w:lineRule="auto"/>
        <w:jc w:val="both"/>
      </w:pPr>
      <w:r>
        <w:rPr>
          <w:rFonts w:ascii="Times New Roman" w:hAnsi="Times New Roman" w:cs="Times New Roman"/>
          <w:b/>
          <w:bCs/>
        </w:rPr>
        <w:drawing>
          <wp:inline distT="0" distB="0" distL="0" distR="0">
            <wp:extent cx="5196840" cy="5498465"/>
            <wp:effectExtent l="0" t="0" r="10160" b="13335"/>
            <wp:docPr id="7117188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718835" name="Picture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96840" cy="5498465"/>
                    </a:xfrm>
                    <a:prstGeom prst="rect">
                      <a:avLst/>
                    </a:prstGeom>
                  </pic:spPr>
                </pic:pic>
              </a:graphicData>
            </a:graphic>
          </wp:inline>
        </w:drawing>
      </w:r>
    </w:p>
    <w:p>
      <w:pPr>
        <w:pStyle w:val="3"/>
        <w:jc w:val="both"/>
        <w:rPr>
          <w:rFonts w:ascii="Times New Roman" w:hAnsi="Times New Roman" w:cs="Times New Roman"/>
          <w:color w:val="5B9BD5" w:themeColor="accent1"/>
          <w:sz w:val="24"/>
          <w:szCs w:val="24"/>
          <w14:textFill>
            <w14:solidFill>
              <w14:schemeClr w14:val="accent1"/>
            </w14:solidFill>
          </w14:textFill>
        </w:rPr>
      </w:pPr>
      <w:r>
        <w:rPr>
          <w:rFonts w:hint="default" w:ascii="Times New Roman Bold" w:hAnsi="Times New Roman Bold" w:eastAsia="宋体" w:cs="Times New Roman Bold"/>
          <w:b/>
          <w:bCs/>
          <w:i w:val="0"/>
          <w:iCs w:val="0"/>
          <w:color w:val="auto"/>
          <w:kern w:val="0"/>
          <w:sz w:val="18"/>
          <w:szCs w:val="18"/>
          <w:lang w:val="en-US" w:eastAsia="zh-CN" w:bidi="ar-SA"/>
          <w14:ligatures w14:val="none"/>
        </w:rPr>
        <w:t>Supplementary Figure 1.</w:t>
      </w:r>
      <w:r>
        <w:rPr>
          <w:rFonts w:hint="eastAsia" w:ascii="Times New Roman" w:hAnsi="Times New Roman" w:eastAsia="宋体" w:cs="Times New Roman"/>
          <w:i w:val="0"/>
          <w:iCs w:val="0"/>
          <w:color w:val="auto"/>
          <w:kern w:val="0"/>
          <w:sz w:val="18"/>
          <w:szCs w:val="18"/>
          <w:lang w:val="en-US" w:eastAsia="zh-CN" w:bidi="ar-SA"/>
          <w14:ligatures w14:val="none"/>
        </w:rPr>
        <w:t xml:space="preserve"> Gene Ontology (GO) enrichment analysis of overlapping targets of M. oleifera and Alzheimer’s disease (AD). (a) Chord plot showing associations between hub genes (red nodes) and enriched biological processes. Lines connect individual genes to their corresponding pathways, with color-coded categories including calcium ion homeostasis, amyloid-beta response, MAPK signaling regulation, and steroid metabolism. (b) Bar chart of GO enrichment results across the three ontologies: Biological Process (BP), Cellular Component (CC), and Molecular Function (MF). The most enriched biological processes included steroid metabolic process, regulation of cytosolic calcium ion concentration, positive regulation of MAPK cascade, and response to amyloid-beta, highlighting pathways highly relevant to AD pathology.</w:t>
      </w:r>
    </w:p>
    <w:p>
      <w:pPr>
        <w:keepNext/>
        <w:spacing w:line="360" w:lineRule="auto"/>
        <w:jc w:val="both"/>
      </w:pPr>
      <w:r>
        <w:rPr>
          <w:rFonts w:ascii="Times New Roman" w:hAnsi="Times New Roman" w:cs="Times New Roman"/>
          <w:b/>
          <w:bCs/>
          <w:color w:val="5B9BD5" w:themeColor="accent1"/>
          <w14:textFill>
            <w14:solidFill>
              <w14:schemeClr w14:val="accent1"/>
            </w14:solidFill>
          </w14:textFill>
        </w:rPr>
        <w:drawing>
          <wp:inline distT="0" distB="0" distL="0" distR="0">
            <wp:extent cx="5346065" cy="6306185"/>
            <wp:effectExtent l="0" t="0" r="13335" b="18415"/>
            <wp:docPr id="1442067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67152"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46203" cy="6306325"/>
                    </a:xfrm>
                    <a:prstGeom prst="rect">
                      <a:avLst/>
                    </a:prstGeom>
                  </pic:spPr>
                </pic:pic>
              </a:graphicData>
            </a:graphic>
          </wp:inline>
        </w:drawing>
      </w:r>
    </w:p>
    <w:p>
      <w:pPr>
        <w:keepNext/>
        <w:spacing w:line="240" w:lineRule="auto"/>
        <w:rPr>
          <w:rFonts w:hint="eastAsia" w:ascii="Times New Roman" w:hAnsi="Times New Roman" w:eastAsia="宋体" w:cs="Times New Roman"/>
          <w:i w:val="0"/>
          <w:iCs w:val="0"/>
          <w:color w:val="auto"/>
          <w:kern w:val="0"/>
          <w:sz w:val="18"/>
          <w:szCs w:val="18"/>
          <w:lang w:val="en-US" w:eastAsia="zh-CN" w:bidi="ar-SA"/>
          <w14:ligatures w14:val="none"/>
        </w:rPr>
      </w:pPr>
      <w:r>
        <w:rPr>
          <w:rFonts w:hint="default" w:ascii="Times New Roman Bold" w:hAnsi="Times New Roman Bold" w:eastAsia="宋体" w:cs="Times New Roman Bold"/>
          <w:b/>
          <w:bCs/>
          <w:i w:val="0"/>
          <w:iCs w:val="0"/>
          <w:color w:val="auto"/>
          <w:kern w:val="0"/>
          <w:sz w:val="18"/>
          <w:szCs w:val="18"/>
          <w:lang w:val="en-US" w:eastAsia="zh-CN" w:bidi="ar-SA"/>
          <w14:ligatures w14:val="none"/>
        </w:rPr>
        <w:t>Supplementary Figure 2.</w:t>
      </w:r>
      <w:r>
        <w:rPr>
          <w:rFonts w:hint="eastAsia" w:ascii="Times New Roman" w:hAnsi="Times New Roman" w:eastAsia="宋体" w:cs="Times New Roman"/>
          <w:i w:val="0"/>
          <w:iCs w:val="0"/>
          <w:color w:val="auto"/>
          <w:kern w:val="0"/>
          <w:sz w:val="18"/>
          <w:szCs w:val="18"/>
          <w:lang w:val="en-US" w:eastAsia="zh-CN" w:bidi="ar-SA"/>
          <w14:ligatures w14:val="none"/>
        </w:rPr>
        <w:t xml:space="preserve"> (a) 3D structure of MAPK1 Protein (b) 3D structure of STAT3.</w:t>
      </w:r>
    </w:p>
    <w:p>
      <w:pPr>
        <w:keepNext/>
        <w:spacing w:line="360" w:lineRule="auto"/>
        <w:jc w:val="both"/>
        <w:rPr>
          <w:rFonts w:ascii="Times New Roman" w:hAnsi="Times New Roman" w:cs="Times New Roman"/>
          <w:color w:val="5B9BD5" w:themeColor="accent1"/>
          <w:sz w:val="36"/>
          <w:szCs w:val="36"/>
          <w14:textFill>
            <w14:solidFill>
              <w14:schemeClr w14:val="accent1"/>
            </w14:solidFill>
          </w14:textFill>
        </w:rPr>
      </w:pPr>
      <w:r>
        <w:rPr>
          <w:rFonts w:ascii="Times New Roman" w:hAnsi="Times New Roman" w:cs="Times New Roman"/>
          <w:b/>
          <w:bCs/>
          <w:color w:val="5B9BD5" w:themeColor="accent1"/>
          <w:sz w:val="40"/>
          <w:szCs w:val="40"/>
          <w14:textFill>
            <w14:solidFill>
              <w14:schemeClr w14:val="accent1"/>
            </w14:solidFill>
          </w14:textFill>
        </w:rPr>
        <w:drawing>
          <wp:inline distT="0" distB="0" distL="0" distR="0">
            <wp:extent cx="5943600" cy="7285990"/>
            <wp:effectExtent l="0" t="0" r="0" b="0"/>
            <wp:docPr id="6342136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13606" name="Picture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285990"/>
                    </a:xfrm>
                    <a:prstGeom prst="rect">
                      <a:avLst/>
                    </a:prstGeom>
                  </pic:spPr>
                </pic:pic>
              </a:graphicData>
            </a:graphic>
          </wp:inline>
        </w:drawing>
      </w:r>
    </w:p>
    <w:p>
      <w:pPr>
        <w:keepNext/>
        <w:spacing w:line="240" w:lineRule="auto"/>
        <w:rPr>
          <w:rFonts w:hint="eastAsia" w:ascii="Times New Roman" w:hAnsi="Times New Roman" w:eastAsia="宋体" w:cs="Times New Roman"/>
          <w:i w:val="0"/>
          <w:iCs w:val="0"/>
          <w:color w:val="auto"/>
          <w:kern w:val="0"/>
          <w:sz w:val="18"/>
          <w:szCs w:val="18"/>
          <w:lang w:val="en-US" w:eastAsia="zh-CN" w:bidi="ar-SA"/>
          <w14:ligatures w14:val="none"/>
        </w:rPr>
      </w:pPr>
      <w:r>
        <w:rPr>
          <w:rFonts w:hint="default" w:ascii="Times New Roman Bold" w:hAnsi="Times New Roman Bold" w:eastAsia="宋体" w:cs="Times New Roman Bold"/>
          <w:b/>
          <w:bCs/>
          <w:i w:val="0"/>
          <w:iCs w:val="0"/>
          <w:color w:val="auto"/>
          <w:kern w:val="0"/>
          <w:sz w:val="18"/>
          <w:szCs w:val="18"/>
          <w:lang w:val="en-US" w:eastAsia="zh-CN" w:bidi="ar-SA"/>
          <w14:ligatures w14:val="none"/>
        </w:rPr>
        <w:t>Supplementary Figure 3.</w:t>
      </w:r>
      <w:r>
        <w:rPr>
          <w:rFonts w:hint="eastAsia" w:ascii="Times New Roman" w:hAnsi="Times New Roman" w:eastAsia="宋体" w:cs="Times New Roman"/>
          <w:i w:val="0"/>
          <w:iCs w:val="0"/>
          <w:color w:val="auto"/>
          <w:kern w:val="0"/>
          <w:sz w:val="18"/>
          <w:szCs w:val="18"/>
          <w:lang w:val="en-US" w:eastAsia="zh-CN" w:bidi="ar-SA"/>
          <w14:ligatures w14:val="none"/>
        </w:rPr>
        <w:t xml:space="preserve"> Docking interaction of Campesterol with MAPK1 as illustrated in 3D and 2D interaction diagrams.</w:t>
      </w:r>
    </w:p>
    <w:p>
      <w:pPr>
        <w:spacing w:line="360" w:lineRule="auto"/>
        <w:jc w:val="both"/>
        <w:rPr>
          <w:rFonts w:ascii="Times New Roman" w:hAnsi="Times New Roman" w:cs="Times New Roman"/>
          <w:color w:val="5B9BD5" w:themeColor="accent1"/>
          <w14:textFill>
            <w14:solidFill>
              <w14:schemeClr w14:val="accent1"/>
            </w14:solidFill>
          </w14:textFill>
        </w:rPr>
      </w:pPr>
      <w:r>
        <w:rPr>
          <w:rFonts w:ascii="Times New Roman" w:hAnsi="Times New Roman" w:cs="Times New Roman"/>
          <w:b/>
          <w:bCs/>
          <w:sz w:val="28"/>
          <w:szCs w:val="28"/>
        </w:rPr>
        <w:drawing>
          <wp:inline distT="0" distB="0" distL="0" distR="0">
            <wp:extent cx="5478145" cy="7162165"/>
            <wp:effectExtent l="0" t="0" r="8255" b="635"/>
            <wp:docPr id="4803300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330006" name="Picture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3344" cy="7194918"/>
                    </a:xfrm>
                    <a:prstGeom prst="rect">
                      <a:avLst/>
                    </a:prstGeom>
                  </pic:spPr>
                </pic:pic>
              </a:graphicData>
            </a:graphic>
          </wp:inline>
        </w:drawing>
      </w:r>
    </w:p>
    <w:p>
      <w:pPr>
        <w:keepNext/>
        <w:spacing w:line="240" w:lineRule="auto"/>
        <w:rPr>
          <w:rFonts w:hint="eastAsia" w:ascii="Times New Roman" w:hAnsi="Times New Roman" w:eastAsia="宋体" w:cs="Times New Roman"/>
          <w:i w:val="0"/>
          <w:iCs w:val="0"/>
          <w:color w:val="auto"/>
          <w:kern w:val="0"/>
          <w:sz w:val="18"/>
          <w:szCs w:val="18"/>
          <w:lang w:val="en-US" w:eastAsia="zh-CN" w:bidi="ar-SA"/>
          <w14:ligatures w14:val="none"/>
        </w:rPr>
      </w:pPr>
      <w:r>
        <w:rPr>
          <w:rFonts w:hint="default" w:ascii="Times New Roman Bold" w:hAnsi="Times New Roman Bold" w:eastAsia="宋体" w:cs="Times New Roman Bold"/>
          <w:b/>
          <w:bCs/>
          <w:i w:val="0"/>
          <w:iCs w:val="0"/>
          <w:color w:val="auto"/>
          <w:kern w:val="0"/>
          <w:sz w:val="18"/>
          <w:szCs w:val="18"/>
          <w:lang w:val="en-US" w:eastAsia="zh-CN" w:bidi="ar-SA"/>
          <w14:ligatures w14:val="none"/>
        </w:rPr>
        <w:t>Supplementary Figure 4.</w:t>
      </w:r>
      <w:r>
        <w:rPr>
          <w:rFonts w:hint="eastAsia" w:ascii="Times New Roman" w:hAnsi="Times New Roman" w:eastAsia="宋体" w:cs="Times New Roman"/>
          <w:i w:val="0"/>
          <w:iCs w:val="0"/>
          <w:color w:val="auto"/>
          <w:kern w:val="0"/>
          <w:sz w:val="18"/>
          <w:szCs w:val="18"/>
          <w:lang w:val="en-US" w:eastAsia="zh-CN" w:bidi="ar-SA"/>
          <w14:ligatures w14:val="none"/>
        </w:rPr>
        <w:t xml:space="preserve"> Docking interaction of 24-Methylenecholesterol with MAPK1 as illustrated in 3D and 2D interaction diagrams.</w:t>
      </w:r>
      <w:bookmarkStart w:id="0" w:name="_GoBack"/>
      <w:bookmarkEnd w:id="0"/>
    </w:p>
    <w:p>
      <w:pPr>
        <w:keepNext/>
        <w:spacing w:line="240" w:lineRule="auto"/>
        <w:rPr>
          <w:rFonts w:hint="eastAsia" w:ascii="Times New Roman" w:hAnsi="Times New Roman" w:eastAsia="宋体" w:cs="Times New Roman"/>
          <w:i w:val="0"/>
          <w:iCs w:val="0"/>
          <w:color w:val="auto"/>
          <w:kern w:val="0"/>
          <w:sz w:val="18"/>
          <w:szCs w:val="18"/>
          <w:lang w:val="en-US" w:eastAsia="zh-CN" w:bidi="ar-SA"/>
          <w14:ligatures w14:val="none"/>
        </w:rPr>
      </w:pPr>
    </w:p>
    <w:p>
      <w:pPr>
        <w:keepNext/>
        <w:spacing w:line="240" w:lineRule="auto"/>
        <w:rPr>
          <w:rFonts w:ascii="Times New Roman" w:hAnsi="Times New Roman" w:cs="Times New Roman"/>
          <w:b/>
          <w:bCs/>
          <w:color w:val="5B9BD5" w:themeColor="accent1"/>
          <w14:textFill>
            <w14:solidFill>
              <w14:schemeClr w14:val="accent1"/>
            </w14:solidFill>
          </w14:textFill>
        </w:rPr>
      </w:pP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Palatino Linotype">
    <w:altName w:val="苹方-简"/>
    <w:panose1 w:val="02040502050505030304"/>
    <w:charset w:val="00"/>
    <w:family w:val="roman"/>
    <w:pitch w:val="default"/>
    <w:sig w:usb0="00000000" w:usb1="00000000" w:usb2="00000000" w:usb3="00000000" w:csb0="0000019F"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Latha">
    <w:altName w:val="苹方-简"/>
    <w:panose1 w:val="020B0604020202020204"/>
    <w:charset w:val="00"/>
    <w:family w:val="swiss"/>
    <w:pitch w:val="default"/>
    <w:sig w:usb0="00000000" w:usb1="0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 w:name="Times New Roman Regular">
    <w:panose1 w:val="02020803070505020304"/>
    <w:charset w:val="00"/>
    <w:family w:val="auto"/>
    <w:pitch w:val="default"/>
    <w:sig w:usb0="E0002AEF" w:usb1="C0007841" w:usb2="00000009" w:usb3="00000000" w:csb0="400001FF" w:csb1="FFFF0000"/>
  </w:font>
  <w:font w:name="Times New Roman Bold">
    <w:panose1 w:val="02020803070505020304"/>
    <w:charset w:val="00"/>
    <w:family w:val="auto"/>
    <w:pitch w:val="default"/>
    <w:sig w:usb0="E0002AEF" w:usb1="C0007841"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000"/>
    <w:rsid w:val="0008297E"/>
    <w:rsid w:val="00224BEC"/>
    <w:rsid w:val="002463ED"/>
    <w:rsid w:val="0033276F"/>
    <w:rsid w:val="004C4D43"/>
    <w:rsid w:val="004E69B9"/>
    <w:rsid w:val="00594A7C"/>
    <w:rsid w:val="007D66EE"/>
    <w:rsid w:val="00801000"/>
    <w:rsid w:val="00AB3C6A"/>
    <w:rsid w:val="00B81F0D"/>
    <w:rsid w:val="00BA257D"/>
    <w:rsid w:val="00D8122B"/>
    <w:rsid w:val="EFC5D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qFormat/>
    <w:uiPriority w:val="9"/>
    <w:pPr>
      <w:keepNext/>
      <w:keepLines/>
      <w:spacing w:before="480" w:after="0"/>
      <w:outlineLvl w:val="0"/>
    </w:pPr>
    <w:rPr>
      <w:rFonts w:cs="Times New Roman"/>
      <w:b/>
      <w:bCs/>
      <w:color w:val="21798E"/>
      <w:sz w:val="22"/>
      <w:szCs w:val="28"/>
      <w:lang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4">
    <w:name w:val="footer"/>
    <w:basedOn w:val="1"/>
    <w:qFormat/>
    <w:uiPriority w:val="99"/>
    <w:pPr>
      <w:tabs>
        <w:tab w:val="center" w:pos="4680"/>
        <w:tab w:val="right" w:pos="9360"/>
      </w:tabs>
    </w:pPr>
    <w:rPr>
      <w:szCs w:val="24"/>
      <w:lang w:bidi="ar-SA"/>
    </w:rPr>
  </w:style>
  <w:style w:type="paragraph" w:styleId="5">
    <w:name w:val="header"/>
    <w:basedOn w:val="1"/>
    <w:qFormat/>
    <w:uiPriority w:val="0"/>
    <w:pPr>
      <w:tabs>
        <w:tab w:val="center" w:pos="4680"/>
        <w:tab w:val="right" w:pos="9360"/>
      </w:tabs>
    </w:pPr>
    <w:rPr>
      <w:szCs w:val="24"/>
      <w:lang w:bidi="ar-SA"/>
    </w:rPr>
  </w:style>
  <w:style w:type="table" w:styleId="7">
    <w:name w:val="Table Grid"/>
    <w:basedOn w:val="6"/>
    <w:uiPriority w:val="39"/>
    <w:pPr>
      <w:spacing w:after="0" w:line="240" w:lineRule="auto"/>
    </w:pPr>
    <w:rPr>
      <w:kern w:val="2"/>
      <w:sz w:val="24"/>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paragraph" w:styleId="10">
    <w:name w:val="List Paragraph"/>
    <w:basedOn w:val="1"/>
    <w:qFormat/>
    <w:uiPriority w:val="34"/>
    <w:pPr>
      <w:ind w:left="720"/>
      <w:contextualSpacing/>
    </w:pPr>
  </w:style>
  <w:style w:type="paragraph" w:customStyle="1" w:styleId="11">
    <w:name w:val="MDPI_1.6_affiliation"/>
    <w:qFormat/>
    <w:uiPriority w:val="0"/>
    <w:pPr>
      <w:adjustRightInd w:val="0"/>
      <w:snapToGrid w:val="0"/>
      <w:spacing w:after="0" w:line="200" w:lineRule="atLeast"/>
      <w:ind w:left="2806" w:hanging="198"/>
    </w:pPr>
    <w:rPr>
      <w:rFonts w:ascii="Palatino Linotype" w:hAnsi="Palatino Linotype" w:eastAsia="Times New Roman" w:cs="Times New Roman"/>
      <w:color w:val="000000"/>
      <w:sz w:val="16"/>
      <w:szCs w:val="18"/>
      <w:lang w:val="en-US" w:eastAsia="de-DE"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622</Words>
  <Characters>3547</Characters>
  <Lines>29</Lines>
  <Paragraphs>8</Paragraphs>
  <TotalTime>4</TotalTime>
  <ScaleCrop>false</ScaleCrop>
  <LinksUpToDate>false</LinksUpToDate>
  <CharactersWithSpaces>4161</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2026-03-19T18:51:00Z</dcterms:created>
  <dc:creator>Itazaz Ul Haq</dc:creator>
  <cp:lastModifiedBy>MEDIN</cp:lastModifiedBy>
  <dcterms:modified xsi:type="dcterms:W3CDTF">2026-03-31T16:26:24Z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6054644BF25F10183085CB69A3186847_42</vt:lpwstr>
  </property>
</Properties>
</file>