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567" w:right="521"/>
        <w:jc w:val="both"/>
        <w:rPr>
          <w:rFonts w:hint="default" w:ascii="Times New Roman" w:hAnsi="Times New Roman" w:cs="Times New Roman"/>
          <w:b/>
          <w:bCs/>
          <w:sz w:val="18"/>
          <w:szCs w:val="18"/>
          <w:u w:val="single"/>
        </w:rPr>
      </w:pPr>
    </w:p>
    <w:p>
      <w:pPr>
        <w:spacing w:line="480" w:lineRule="auto"/>
        <w:ind w:left="567" w:right="521"/>
        <w:jc w:val="center"/>
        <w:rPr>
          <w:rFonts w:hint="default" w:ascii="Times New Roman" w:hAnsi="Times New Roman" w:cs="Times New Roman"/>
          <w:b/>
          <w:bCs/>
          <w:sz w:val="24"/>
          <w:szCs w:val="24"/>
        </w:rPr>
      </w:pPr>
      <w:r>
        <w:rPr>
          <w:rFonts w:hint="default" w:ascii="Times New Roman" w:hAnsi="Times New Roman" w:cs="Times New Roman"/>
          <w:b/>
          <w:bCs/>
          <w:sz w:val="21"/>
          <w:szCs w:val="21"/>
          <w:u w:val="single"/>
        </w:rPr>
        <w:t>Supplementary Information</w:t>
      </w:r>
    </w:p>
    <w:p>
      <w:pPr>
        <w:pStyle w:val="9"/>
        <w:keepNext w:val="0"/>
        <w:keepLines w:val="0"/>
        <w:pageBreakBefore w:val="0"/>
        <w:widowControl/>
        <w:numPr>
          <w:ilvl w:val="0"/>
          <w:numId w:val="1"/>
        </w:numPr>
        <w:kinsoku/>
        <w:wordWrap/>
        <w:overflowPunct/>
        <w:topLinePunct w:val="0"/>
        <w:bidi w:val="0"/>
        <w:adjustRightInd/>
        <w:snapToGrid/>
        <w:spacing w:line="240" w:lineRule="auto"/>
        <w:ind w:left="567" w:right="521"/>
        <w:jc w:val="both"/>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Cost-Benefit Analysis</w:t>
      </w:r>
    </w:p>
    <w:p>
      <w:pPr>
        <w:pStyle w:val="9"/>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b/>
          <w:bCs/>
          <w:sz w:val="18"/>
          <w:szCs w:val="18"/>
        </w:rPr>
      </w:pPr>
    </w:p>
    <w:p>
      <w:pPr>
        <w:pStyle w:val="9"/>
        <w:keepNext w:val="0"/>
        <w:keepLines w:val="0"/>
        <w:pageBreakBefore w:val="0"/>
        <w:widowControl/>
        <w:numPr>
          <w:ilvl w:val="1"/>
          <w:numId w:val="1"/>
        </w:numPr>
        <w:kinsoku/>
        <w:wordWrap/>
        <w:overflowPunct/>
        <w:topLinePunct w:val="0"/>
        <w:bidi w:val="0"/>
        <w:adjustRightInd/>
        <w:snapToGrid/>
        <w:spacing w:line="240" w:lineRule="auto"/>
        <w:ind w:left="567" w:right="521"/>
        <w:jc w:val="both"/>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Operations and Development Cost Analysis of Low Carbon Hydrogen  </w:t>
      </w:r>
    </w:p>
    <w:p>
      <w:pPr>
        <w:pStyle w:val="9"/>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b/>
          <w:bCs/>
          <w:sz w:val="18"/>
          <w:szCs w:val="18"/>
        </w:rPr>
      </w:pP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sz w:val="18"/>
          <w:szCs w:val="18"/>
        </w:rPr>
      </w:pPr>
      <w:r>
        <w:rPr>
          <w:rFonts w:hint="default" w:ascii="Times New Roman" w:hAnsi="Times New Roman" w:cs="Times New Roman"/>
          <w:sz w:val="18"/>
          <w:szCs w:val="18"/>
        </w:rPr>
        <w:t xml:space="preserve">The cost-benefit analysis of low-carbon hydrogen production first requires operational and development cost analysis, including hardware, services, software, labour, system requirements, infrastructure, and management costs. The industrial plant for low carbon hydrogen production is assumed to be a 1 tonne per day (1TPD) plant, which is hypothesised for the analysis. The operational and development cost of the 1 TPD is shown in </w:t>
      </w:r>
      <w:r>
        <w:rPr>
          <w:rFonts w:hint="default" w:ascii="Times New Roman" w:hAnsi="Times New Roman" w:cs="Times New Roman"/>
          <w:b/>
          <w:bCs/>
          <w:sz w:val="18"/>
          <w:szCs w:val="18"/>
        </w:rPr>
        <w:t>Table S1</w:t>
      </w:r>
      <w:r>
        <w:rPr>
          <w:rFonts w:hint="default" w:ascii="Times New Roman" w:hAnsi="Times New Roman" w:cs="Times New Roman"/>
          <w:sz w:val="18"/>
          <w:szCs w:val="18"/>
        </w:rPr>
        <w:t>.</w:t>
      </w: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sz w:val="18"/>
          <w:szCs w:val="18"/>
        </w:rPr>
      </w:pPr>
      <w:r>
        <w:rPr>
          <w:rFonts w:hint="default" w:ascii="Times New Roman" w:hAnsi="Times New Roman" w:cs="Times New Roman"/>
          <w:b/>
          <w:bCs/>
          <w:sz w:val="18"/>
          <w:szCs w:val="18"/>
        </w:rPr>
        <w:t xml:space="preserve">Table S1: </w:t>
      </w:r>
      <w:r>
        <w:rPr>
          <w:rFonts w:hint="default" w:ascii="Times New Roman" w:hAnsi="Times New Roman" w:cs="Times New Roman"/>
          <w:sz w:val="18"/>
          <w:szCs w:val="18"/>
        </w:rPr>
        <w:t>Operational and Development Cost Analysis of LCH Production Plant*.</w:t>
      </w: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sz w:val="18"/>
          <w:szCs w:val="1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Borders>
              <w:top w:val="nil"/>
              <w:bottom w:val="nil"/>
              <w:right w:val="nil"/>
              <w:insideV w:val="nil"/>
            </w:tcBorders>
            <w:shd w:val="clear" w:color="auto" w:fill="FFFFFF" w:themeFill="background1"/>
          </w:tcPr>
          <w:p>
            <w:pPr>
              <w:keepNext w:val="0"/>
              <w:keepLines w:val="0"/>
              <w:pageBreakBefore w:val="0"/>
              <w:widowControl/>
              <w:kinsoku/>
              <w:wordWrap/>
              <w:overflowPunct/>
              <w:topLinePunct w:val="0"/>
              <w:bidi w:val="0"/>
              <w:adjustRightInd/>
              <w:snapToGrid/>
              <w:spacing w:before="240" w:after="0" w:line="240" w:lineRule="auto"/>
              <w:ind w:left="567" w:right="521"/>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Operational and Development Analysis</w:t>
            </w:r>
          </w:p>
        </w:tc>
        <w:tc>
          <w:tcPr>
            <w:tcW w:w="4621" w:type="dxa"/>
            <w:tcBorders>
              <w:top w:val="nil"/>
              <w:left w:val="nil"/>
              <w:bottom w:val="nil"/>
              <w:insideV w:val="nil"/>
            </w:tcBorders>
            <w:shd w:val="clear" w:color="auto" w:fill="FFFFFF" w:themeFill="background1"/>
          </w:tcPr>
          <w:p>
            <w:pPr>
              <w:keepNext w:val="0"/>
              <w:keepLines w:val="0"/>
              <w:pageBreakBefore w:val="0"/>
              <w:widowControl/>
              <w:kinsoku/>
              <w:wordWrap/>
              <w:overflowPunct/>
              <w:topLinePunct w:val="0"/>
              <w:bidi w:val="0"/>
              <w:adjustRightInd/>
              <w:snapToGrid/>
              <w:spacing w:before="240" w:after="0" w:line="240" w:lineRule="auto"/>
              <w:ind w:left="567" w:right="521"/>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Costs (in $/Year)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shd w:val="clear" w:color="auto" w:fill="FBE4D5" w:themeFill="accent2" w:themeFillTint="33"/>
          </w:tcPr>
          <w:p>
            <w:pPr>
              <w:keepNext w:val="0"/>
              <w:keepLines w:val="0"/>
              <w:pageBreakBefore w:val="0"/>
              <w:widowControl/>
              <w:kinsoku/>
              <w:wordWrap/>
              <w:overflowPunct/>
              <w:topLinePunct w:val="0"/>
              <w:bidi w:val="0"/>
              <w:adjustRightInd/>
              <w:snapToGrid/>
              <w:spacing w:before="240" w:after="0" w:line="240" w:lineRule="auto"/>
              <w:ind w:left="567" w:right="521"/>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Hardware</w:t>
            </w:r>
          </w:p>
        </w:tc>
        <w:tc>
          <w:tcPr>
            <w:tcW w:w="4621" w:type="dxa"/>
            <w:shd w:val="clear" w:color="auto" w:fill="FBE4D5" w:themeFill="accent2" w:themeFillTint="33"/>
          </w:tcPr>
          <w:p>
            <w:pPr>
              <w:keepNext w:val="0"/>
              <w:keepLines w:val="0"/>
              <w:pageBreakBefore w:val="0"/>
              <w:widowControl/>
              <w:kinsoku/>
              <w:wordWrap/>
              <w:overflowPunct/>
              <w:topLinePunct w:val="0"/>
              <w:bidi w:val="0"/>
              <w:adjustRightInd/>
              <w:snapToGrid/>
              <w:spacing w:before="240" w:after="0" w:line="240" w:lineRule="auto"/>
              <w:ind w:left="567" w:right="52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pPr>
              <w:keepNext w:val="0"/>
              <w:keepLines w:val="0"/>
              <w:pageBreakBefore w:val="0"/>
              <w:widowControl/>
              <w:kinsoku/>
              <w:wordWrap/>
              <w:overflowPunct/>
              <w:topLinePunct w:val="0"/>
              <w:bidi w:val="0"/>
              <w:adjustRightInd/>
              <w:snapToGrid/>
              <w:spacing w:before="240" w:after="0" w:line="240" w:lineRule="auto"/>
              <w:ind w:left="567" w:right="521"/>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Services</w:t>
            </w:r>
          </w:p>
        </w:tc>
        <w:tc>
          <w:tcPr>
            <w:tcW w:w="4621" w:type="dxa"/>
          </w:tcPr>
          <w:p>
            <w:pPr>
              <w:keepNext w:val="0"/>
              <w:keepLines w:val="0"/>
              <w:pageBreakBefore w:val="0"/>
              <w:widowControl/>
              <w:kinsoku/>
              <w:wordWrap/>
              <w:overflowPunct/>
              <w:topLinePunct w:val="0"/>
              <w:bidi w:val="0"/>
              <w:adjustRightInd/>
              <w:snapToGrid/>
              <w:spacing w:before="240" w:after="0" w:line="240" w:lineRule="auto"/>
              <w:ind w:left="567" w:right="52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shd w:val="clear" w:color="auto" w:fill="FBE4D5" w:themeFill="accent2" w:themeFillTint="33"/>
          </w:tcPr>
          <w:p>
            <w:pPr>
              <w:keepNext w:val="0"/>
              <w:keepLines w:val="0"/>
              <w:pageBreakBefore w:val="0"/>
              <w:widowControl/>
              <w:kinsoku/>
              <w:wordWrap/>
              <w:overflowPunct/>
              <w:topLinePunct w:val="0"/>
              <w:bidi w:val="0"/>
              <w:adjustRightInd/>
              <w:snapToGrid/>
              <w:spacing w:before="240" w:after="0" w:line="240" w:lineRule="auto"/>
              <w:ind w:left="567" w:right="521"/>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Software</w:t>
            </w:r>
          </w:p>
        </w:tc>
        <w:tc>
          <w:tcPr>
            <w:tcW w:w="4621" w:type="dxa"/>
            <w:shd w:val="clear" w:color="auto" w:fill="FBE4D5" w:themeFill="accent2" w:themeFillTint="33"/>
          </w:tcPr>
          <w:p>
            <w:pPr>
              <w:keepNext w:val="0"/>
              <w:keepLines w:val="0"/>
              <w:pageBreakBefore w:val="0"/>
              <w:widowControl/>
              <w:kinsoku/>
              <w:wordWrap/>
              <w:overflowPunct/>
              <w:topLinePunct w:val="0"/>
              <w:bidi w:val="0"/>
              <w:adjustRightInd/>
              <w:snapToGrid/>
              <w:spacing w:before="240" w:after="0" w:line="240" w:lineRule="auto"/>
              <w:ind w:left="567" w:right="52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pPr>
              <w:keepNext w:val="0"/>
              <w:keepLines w:val="0"/>
              <w:pageBreakBefore w:val="0"/>
              <w:widowControl/>
              <w:kinsoku/>
              <w:wordWrap/>
              <w:overflowPunct/>
              <w:topLinePunct w:val="0"/>
              <w:bidi w:val="0"/>
              <w:adjustRightInd/>
              <w:snapToGrid/>
              <w:spacing w:before="240" w:after="0" w:line="240" w:lineRule="auto"/>
              <w:ind w:left="567" w:right="521"/>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Labour</w:t>
            </w:r>
          </w:p>
        </w:tc>
        <w:tc>
          <w:tcPr>
            <w:tcW w:w="4621" w:type="dxa"/>
          </w:tcPr>
          <w:p>
            <w:pPr>
              <w:keepNext w:val="0"/>
              <w:keepLines w:val="0"/>
              <w:pageBreakBefore w:val="0"/>
              <w:widowControl/>
              <w:kinsoku/>
              <w:wordWrap/>
              <w:overflowPunct/>
              <w:topLinePunct w:val="0"/>
              <w:bidi w:val="0"/>
              <w:adjustRightInd/>
              <w:snapToGrid/>
              <w:spacing w:before="240" w:after="0" w:line="240" w:lineRule="auto"/>
              <w:ind w:left="567" w:right="52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3,007,500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shd w:val="clear" w:color="auto" w:fill="FBE4D5" w:themeFill="accent2" w:themeFillTint="33"/>
          </w:tcPr>
          <w:p>
            <w:pPr>
              <w:keepNext w:val="0"/>
              <w:keepLines w:val="0"/>
              <w:pageBreakBefore w:val="0"/>
              <w:widowControl/>
              <w:kinsoku/>
              <w:wordWrap/>
              <w:overflowPunct/>
              <w:topLinePunct w:val="0"/>
              <w:bidi w:val="0"/>
              <w:adjustRightInd/>
              <w:snapToGrid/>
              <w:spacing w:before="240" w:after="0" w:line="240" w:lineRule="auto"/>
              <w:ind w:left="567" w:right="521"/>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System Equipments</w:t>
            </w:r>
          </w:p>
        </w:tc>
        <w:tc>
          <w:tcPr>
            <w:tcW w:w="4621" w:type="dxa"/>
            <w:shd w:val="clear" w:color="auto" w:fill="FBE4D5" w:themeFill="accent2" w:themeFillTint="33"/>
          </w:tcPr>
          <w:p>
            <w:pPr>
              <w:keepNext w:val="0"/>
              <w:keepLines w:val="0"/>
              <w:pageBreakBefore w:val="0"/>
              <w:widowControl/>
              <w:kinsoku/>
              <w:wordWrap/>
              <w:overflowPunct/>
              <w:topLinePunct w:val="0"/>
              <w:bidi w:val="0"/>
              <w:adjustRightInd/>
              <w:snapToGrid/>
              <w:spacing w:before="240" w:after="0" w:line="240" w:lineRule="auto"/>
              <w:ind w:left="567" w:right="52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pPr>
              <w:keepNext w:val="0"/>
              <w:keepLines w:val="0"/>
              <w:pageBreakBefore w:val="0"/>
              <w:widowControl/>
              <w:kinsoku/>
              <w:wordWrap/>
              <w:overflowPunct/>
              <w:topLinePunct w:val="0"/>
              <w:bidi w:val="0"/>
              <w:adjustRightInd/>
              <w:snapToGrid/>
              <w:spacing w:before="240" w:after="0" w:line="240" w:lineRule="auto"/>
              <w:ind w:left="567" w:right="521"/>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Infrastructure</w:t>
            </w:r>
          </w:p>
        </w:tc>
        <w:tc>
          <w:tcPr>
            <w:tcW w:w="4621" w:type="dxa"/>
          </w:tcPr>
          <w:p>
            <w:pPr>
              <w:keepNext w:val="0"/>
              <w:keepLines w:val="0"/>
              <w:pageBreakBefore w:val="0"/>
              <w:widowControl/>
              <w:kinsoku/>
              <w:wordWrap/>
              <w:overflowPunct/>
              <w:topLinePunct w:val="0"/>
              <w:bidi w:val="0"/>
              <w:adjustRightInd/>
              <w:snapToGrid/>
              <w:spacing w:before="240" w:after="0" w:line="240" w:lineRule="auto"/>
              <w:ind w:left="567" w:right="52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shd w:val="clear" w:color="auto" w:fill="FBE4D5" w:themeFill="accent2" w:themeFillTint="33"/>
          </w:tcPr>
          <w:p>
            <w:pPr>
              <w:keepNext w:val="0"/>
              <w:keepLines w:val="0"/>
              <w:pageBreakBefore w:val="0"/>
              <w:widowControl/>
              <w:kinsoku/>
              <w:wordWrap/>
              <w:overflowPunct/>
              <w:topLinePunct w:val="0"/>
              <w:bidi w:val="0"/>
              <w:adjustRightInd/>
              <w:snapToGrid/>
              <w:spacing w:before="240" w:after="0" w:line="240" w:lineRule="auto"/>
              <w:ind w:left="567" w:right="521"/>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Management</w:t>
            </w:r>
          </w:p>
        </w:tc>
        <w:tc>
          <w:tcPr>
            <w:tcW w:w="4621" w:type="dxa"/>
            <w:shd w:val="clear" w:color="auto" w:fill="FBE4D5" w:themeFill="accent2" w:themeFillTint="33"/>
          </w:tcPr>
          <w:p>
            <w:pPr>
              <w:keepNext w:val="0"/>
              <w:keepLines w:val="0"/>
              <w:pageBreakBefore w:val="0"/>
              <w:widowControl/>
              <w:kinsoku/>
              <w:wordWrap/>
              <w:overflowPunct/>
              <w:topLinePunct w:val="0"/>
              <w:bidi w:val="0"/>
              <w:adjustRightInd/>
              <w:snapToGrid/>
              <w:spacing w:before="240" w:after="0" w:line="240" w:lineRule="auto"/>
              <w:ind w:left="567" w:right="52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750,000</w:t>
            </w:r>
          </w:p>
        </w:tc>
      </w:tr>
    </w:tbl>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sz w:val="18"/>
          <w:szCs w:val="18"/>
        </w:rPr>
      </w:pP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i/>
          <w:iCs/>
          <w:sz w:val="18"/>
          <w:szCs w:val="18"/>
        </w:rPr>
      </w:pPr>
      <w:r>
        <w:rPr>
          <w:rFonts w:hint="default" w:ascii="Times New Roman" w:hAnsi="Times New Roman" w:cs="Times New Roman"/>
          <w:i/>
          <w:iCs/>
          <w:sz w:val="18"/>
          <w:szCs w:val="18"/>
        </w:rPr>
        <w:t>*It is important to note that the cost analysis is based on estimating, assuming and approximating a 1 TPD plant of low-carbon hydrogen.</w:t>
      </w: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sz w:val="18"/>
          <w:szCs w:val="18"/>
        </w:rPr>
      </w:pPr>
    </w:p>
    <w:p>
      <w:pPr>
        <w:pStyle w:val="9"/>
        <w:keepNext w:val="0"/>
        <w:keepLines w:val="0"/>
        <w:pageBreakBefore w:val="0"/>
        <w:widowControl/>
        <w:numPr>
          <w:ilvl w:val="1"/>
          <w:numId w:val="1"/>
        </w:numPr>
        <w:kinsoku/>
        <w:wordWrap/>
        <w:overflowPunct/>
        <w:topLinePunct w:val="0"/>
        <w:bidi w:val="0"/>
        <w:adjustRightInd/>
        <w:snapToGrid/>
        <w:spacing w:line="240" w:lineRule="auto"/>
        <w:ind w:left="567" w:right="521"/>
        <w:jc w:val="both"/>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Benefits Analysis of Low Carbon Hydrogen</w:t>
      </w:r>
    </w:p>
    <w:p>
      <w:pPr>
        <w:pStyle w:val="9"/>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b/>
          <w:bCs/>
          <w:sz w:val="18"/>
          <w:szCs w:val="18"/>
        </w:rPr>
      </w:pP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sz w:val="18"/>
          <w:szCs w:val="18"/>
        </w:rPr>
      </w:pPr>
      <w:r>
        <w:rPr>
          <w:rFonts w:hint="default" w:ascii="Times New Roman" w:hAnsi="Times New Roman" w:cs="Times New Roman"/>
          <w:sz w:val="18"/>
          <w:szCs w:val="18"/>
        </w:rPr>
        <w:t xml:space="preserve">The benefit analysis usually consists of tangible and intangible benefits, which help in the performance and effectiveness of a plant. Benefit Analysis comprises more effective promotion campaigns, better industry-to-industry or industry-to-consumer retention, enhanced productivity, workflow efficiency, and high-quality and effective equipment. An approximation and estimation analysis of the benefit analysis for industrial low-carbon hydrogen plants is shown in </w:t>
      </w:r>
      <w:r>
        <w:rPr>
          <w:rFonts w:hint="default" w:ascii="Times New Roman" w:hAnsi="Times New Roman" w:cs="Times New Roman"/>
          <w:b/>
          <w:bCs/>
          <w:sz w:val="18"/>
          <w:szCs w:val="18"/>
        </w:rPr>
        <w:t>Table S3</w:t>
      </w:r>
      <w:r>
        <w:rPr>
          <w:rFonts w:hint="default" w:ascii="Times New Roman" w:hAnsi="Times New Roman" w:cs="Times New Roman"/>
          <w:sz w:val="18"/>
          <w:szCs w:val="18"/>
        </w:rPr>
        <w:t>.</w:t>
      </w: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sz w:val="18"/>
          <w:szCs w:val="18"/>
        </w:rPr>
      </w:pPr>
      <w:r>
        <w:rPr>
          <w:rFonts w:hint="default" w:ascii="Times New Roman" w:hAnsi="Times New Roman" w:cs="Times New Roman"/>
          <w:b/>
          <w:bCs/>
          <w:sz w:val="18"/>
          <w:szCs w:val="18"/>
        </w:rPr>
        <w:t xml:space="preserve">Table S2: </w:t>
      </w:r>
      <w:r>
        <w:rPr>
          <w:rFonts w:hint="default" w:ascii="Times New Roman" w:hAnsi="Times New Roman" w:cs="Times New Roman"/>
          <w:sz w:val="18"/>
          <w:szCs w:val="18"/>
        </w:rPr>
        <w:t>Benefit Analysis of LCH Production Plant*.</w:t>
      </w:r>
    </w:p>
    <w:tbl>
      <w:tblPr>
        <w:tblStyle w:val="19"/>
        <w:tblW w:w="0" w:type="auto"/>
        <w:tblInd w:w="0" w:type="dxa"/>
        <w:tblBorders>
          <w:top w:val="single" w:color="F4B083" w:themeColor="accent2" w:themeTint="99" w:sz="2" w:space="0"/>
          <w:left w:val="none" w:color="auto" w:sz="0" w:space="0"/>
          <w:bottom w:val="single" w:color="F4B083" w:themeColor="accent2" w:themeTint="99" w:sz="2" w:space="0"/>
          <w:right w:val="none" w:color="auto" w:sz="0" w:space="0"/>
          <w:insideH w:val="single" w:color="F4B083" w:themeColor="accent2" w:themeTint="99" w:sz="2" w:space="0"/>
          <w:insideV w:val="single" w:color="F4B083" w:themeColor="accent2" w:themeTint="99" w:sz="2" w:space="0"/>
        </w:tblBorders>
        <w:tblLayout w:type="autofit"/>
        <w:tblCellMar>
          <w:top w:w="0" w:type="dxa"/>
          <w:left w:w="108" w:type="dxa"/>
          <w:bottom w:w="0" w:type="dxa"/>
          <w:right w:w="108" w:type="dxa"/>
        </w:tblCellMar>
      </w:tblPr>
      <w:tblGrid>
        <w:gridCol w:w="4519"/>
        <w:gridCol w:w="4507"/>
      </w:tblGrid>
      <w:tr>
        <w:tblPrEx>
          <w:tblBorders>
            <w:top w:val="single" w:color="F4B083" w:themeColor="accent2" w:themeTint="99" w:sz="2" w:space="0"/>
            <w:left w:val="none" w:color="auto" w:sz="0" w:space="0"/>
            <w:bottom w:val="single" w:color="F4B083" w:themeColor="accent2" w:themeTint="99" w:sz="2" w:space="0"/>
            <w:right w:val="none" w:color="auto" w:sz="0"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Ex>
        <w:tc>
          <w:tcPr>
            <w:tcW w:w="4519" w:type="dxa"/>
            <w:tcBorders>
              <w:top w:val="nil"/>
              <w:bottom w:val="single" w:color="F4B083" w:themeColor="accent2" w:themeTint="99" w:sz="12" w:space="0"/>
              <w:right w:val="nil"/>
              <w:insideH w:val="single" w:sz="12" w:space="0"/>
              <w:insideV w:val="nil"/>
            </w:tcBorders>
            <w:shd w:val="clear" w:color="auto" w:fill="FFFFFF" w:themeFill="background1"/>
          </w:tcPr>
          <w:p>
            <w:pPr>
              <w:keepNext w:val="0"/>
              <w:keepLines w:val="0"/>
              <w:pageBreakBefore w:val="0"/>
              <w:widowControl/>
              <w:kinsoku/>
              <w:wordWrap/>
              <w:overflowPunct/>
              <w:topLinePunct w:val="0"/>
              <w:bidi w:val="0"/>
              <w:adjustRightInd/>
              <w:snapToGrid/>
              <w:spacing w:after="0" w:line="240" w:lineRule="auto"/>
              <w:ind w:left="567" w:right="521"/>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Benefit Analysis</w:t>
            </w:r>
          </w:p>
        </w:tc>
        <w:tc>
          <w:tcPr>
            <w:tcW w:w="4507" w:type="dxa"/>
            <w:tcBorders>
              <w:top w:val="nil"/>
              <w:bottom w:val="single" w:color="F4B083" w:themeColor="accent2" w:themeTint="99" w:sz="12" w:space="0"/>
              <w:insideH w:val="single" w:sz="12" w:space="0"/>
              <w:insideV w:val="nil"/>
            </w:tcBorders>
            <w:shd w:val="clear" w:color="auto" w:fill="FFFFFF" w:themeFill="background1"/>
          </w:tcPr>
          <w:p>
            <w:pPr>
              <w:keepNext w:val="0"/>
              <w:keepLines w:val="0"/>
              <w:pageBreakBefore w:val="0"/>
              <w:widowControl/>
              <w:kinsoku/>
              <w:wordWrap/>
              <w:overflowPunct/>
              <w:topLinePunct w:val="0"/>
              <w:bidi w:val="0"/>
              <w:adjustRightInd/>
              <w:snapToGrid/>
              <w:spacing w:after="0" w:line="240" w:lineRule="auto"/>
              <w:ind w:left="567" w:right="521"/>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Costs (in $/Year)</w:t>
            </w:r>
          </w:p>
        </w:tc>
      </w:tr>
      <w:tr>
        <w:tblPrEx>
          <w:tblBorders>
            <w:top w:val="single" w:color="F4B083" w:themeColor="accent2" w:themeTint="99" w:sz="2" w:space="0"/>
            <w:left w:val="none" w:color="auto" w:sz="0" w:space="0"/>
            <w:bottom w:val="single" w:color="F4B083" w:themeColor="accent2" w:themeTint="99" w:sz="2" w:space="0"/>
            <w:right w:val="none" w:color="auto" w:sz="0"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Ex>
        <w:tc>
          <w:tcPr>
            <w:tcW w:w="4519" w:type="dxa"/>
            <w:shd w:val="clear" w:color="auto" w:fill="FBE4D5" w:themeFill="accent2" w:themeFillTint="33"/>
          </w:tcPr>
          <w:p>
            <w:pPr>
              <w:keepNext w:val="0"/>
              <w:keepLines w:val="0"/>
              <w:pageBreakBefore w:val="0"/>
              <w:widowControl/>
              <w:kinsoku/>
              <w:wordWrap/>
              <w:overflowPunct/>
              <w:topLinePunct w:val="0"/>
              <w:bidi w:val="0"/>
              <w:adjustRightInd/>
              <w:snapToGrid/>
              <w:spacing w:after="0" w:line="240" w:lineRule="auto"/>
              <w:ind w:left="567" w:right="521"/>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More effective promotion campaigns for public awareness of low-carbon hydrogen</w:t>
            </w:r>
          </w:p>
        </w:tc>
        <w:tc>
          <w:tcPr>
            <w:tcW w:w="4507" w:type="dxa"/>
            <w:shd w:val="clear" w:color="auto" w:fill="FBE4D5" w:themeFill="accent2" w:themeFillTint="33"/>
          </w:tcPr>
          <w:p>
            <w:pPr>
              <w:keepNext w:val="0"/>
              <w:keepLines w:val="0"/>
              <w:pageBreakBefore w:val="0"/>
              <w:widowControl/>
              <w:kinsoku/>
              <w:wordWrap/>
              <w:overflowPunct/>
              <w:topLinePunct w:val="0"/>
              <w:bidi w:val="0"/>
              <w:adjustRightInd/>
              <w:snapToGrid/>
              <w:spacing w:after="0" w:line="240" w:lineRule="auto"/>
              <w:ind w:left="567" w:right="52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100,000</w:t>
            </w:r>
          </w:p>
        </w:tc>
      </w:tr>
      <w:tr>
        <w:tblPrEx>
          <w:tblBorders>
            <w:top w:val="single" w:color="F4B083" w:themeColor="accent2" w:themeTint="99" w:sz="2" w:space="0"/>
            <w:left w:val="none" w:color="auto" w:sz="0" w:space="0"/>
            <w:bottom w:val="single" w:color="F4B083" w:themeColor="accent2" w:themeTint="99" w:sz="2" w:space="0"/>
            <w:right w:val="none" w:color="auto" w:sz="0"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Ex>
        <w:tc>
          <w:tcPr>
            <w:tcW w:w="4519" w:type="dxa"/>
          </w:tcPr>
          <w:p>
            <w:pPr>
              <w:keepNext w:val="0"/>
              <w:keepLines w:val="0"/>
              <w:pageBreakBefore w:val="0"/>
              <w:widowControl/>
              <w:kinsoku/>
              <w:wordWrap/>
              <w:overflowPunct/>
              <w:topLinePunct w:val="0"/>
              <w:bidi w:val="0"/>
              <w:adjustRightInd/>
              <w:snapToGrid/>
              <w:spacing w:after="0" w:line="240" w:lineRule="auto"/>
              <w:ind w:left="567" w:right="521"/>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Better industry-to-industry or industry-to-consumer retention</w:t>
            </w:r>
          </w:p>
        </w:tc>
        <w:tc>
          <w:tcPr>
            <w:tcW w:w="4507" w:type="dxa"/>
          </w:tcPr>
          <w:p>
            <w:pPr>
              <w:keepNext w:val="0"/>
              <w:keepLines w:val="0"/>
              <w:pageBreakBefore w:val="0"/>
              <w:widowControl/>
              <w:kinsoku/>
              <w:wordWrap/>
              <w:overflowPunct/>
              <w:topLinePunct w:val="0"/>
              <w:bidi w:val="0"/>
              <w:adjustRightInd/>
              <w:snapToGrid/>
              <w:spacing w:after="0" w:line="240" w:lineRule="auto"/>
              <w:ind w:left="567" w:right="52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40,000</w:t>
            </w:r>
          </w:p>
        </w:tc>
      </w:tr>
      <w:tr>
        <w:tblPrEx>
          <w:tblBorders>
            <w:top w:val="single" w:color="F4B083" w:themeColor="accent2" w:themeTint="99" w:sz="2" w:space="0"/>
            <w:left w:val="none" w:color="auto" w:sz="0" w:space="0"/>
            <w:bottom w:val="single" w:color="F4B083" w:themeColor="accent2" w:themeTint="99" w:sz="2" w:space="0"/>
            <w:right w:val="none" w:color="auto" w:sz="0"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Ex>
        <w:tc>
          <w:tcPr>
            <w:tcW w:w="4519" w:type="dxa"/>
            <w:shd w:val="clear" w:color="auto" w:fill="FBE4D5" w:themeFill="accent2" w:themeFillTint="33"/>
          </w:tcPr>
          <w:p>
            <w:pPr>
              <w:keepNext w:val="0"/>
              <w:keepLines w:val="0"/>
              <w:pageBreakBefore w:val="0"/>
              <w:widowControl/>
              <w:kinsoku/>
              <w:wordWrap/>
              <w:overflowPunct/>
              <w:topLinePunct w:val="0"/>
              <w:bidi w:val="0"/>
              <w:adjustRightInd/>
              <w:snapToGrid/>
              <w:spacing w:after="0" w:line="240" w:lineRule="auto"/>
              <w:ind w:left="567" w:right="521"/>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Enhanced Productivity</w:t>
            </w:r>
          </w:p>
        </w:tc>
        <w:tc>
          <w:tcPr>
            <w:tcW w:w="4507" w:type="dxa"/>
            <w:shd w:val="clear" w:color="auto" w:fill="FBE4D5" w:themeFill="accent2" w:themeFillTint="33"/>
          </w:tcPr>
          <w:p>
            <w:pPr>
              <w:keepNext w:val="0"/>
              <w:keepLines w:val="0"/>
              <w:pageBreakBefore w:val="0"/>
              <w:widowControl/>
              <w:kinsoku/>
              <w:wordWrap/>
              <w:overflowPunct/>
              <w:topLinePunct w:val="0"/>
              <w:bidi w:val="0"/>
              <w:adjustRightInd/>
              <w:snapToGrid/>
              <w:spacing w:after="0" w:line="240" w:lineRule="auto"/>
              <w:ind w:left="567" w:right="52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70,000</w:t>
            </w:r>
          </w:p>
        </w:tc>
      </w:tr>
      <w:tr>
        <w:tblPrEx>
          <w:tblBorders>
            <w:top w:val="single" w:color="F4B083" w:themeColor="accent2" w:themeTint="99" w:sz="2" w:space="0"/>
            <w:left w:val="none" w:color="auto" w:sz="0" w:space="0"/>
            <w:bottom w:val="single" w:color="F4B083" w:themeColor="accent2" w:themeTint="99" w:sz="2" w:space="0"/>
            <w:right w:val="none" w:color="auto" w:sz="0"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Ex>
        <w:tc>
          <w:tcPr>
            <w:tcW w:w="4519" w:type="dxa"/>
          </w:tcPr>
          <w:p>
            <w:pPr>
              <w:keepNext w:val="0"/>
              <w:keepLines w:val="0"/>
              <w:pageBreakBefore w:val="0"/>
              <w:widowControl/>
              <w:kinsoku/>
              <w:wordWrap/>
              <w:overflowPunct/>
              <w:topLinePunct w:val="0"/>
              <w:bidi w:val="0"/>
              <w:adjustRightInd/>
              <w:snapToGrid/>
              <w:spacing w:after="0" w:line="240" w:lineRule="auto"/>
              <w:ind w:left="567" w:right="521"/>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Workflow Efficiency</w:t>
            </w:r>
          </w:p>
        </w:tc>
        <w:tc>
          <w:tcPr>
            <w:tcW w:w="4507" w:type="dxa"/>
          </w:tcPr>
          <w:p>
            <w:pPr>
              <w:keepNext w:val="0"/>
              <w:keepLines w:val="0"/>
              <w:pageBreakBefore w:val="0"/>
              <w:widowControl/>
              <w:kinsoku/>
              <w:wordWrap/>
              <w:overflowPunct/>
              <w:topLinePunct w:val="0"/>
              <w:bidi w:val="0"/>
              <w:adjustRightInd/>
              <w:snapToGrid/>
              <w:spacing w:after="0" w:line="240" w:lineRule="auto"/>
              <w:ind w:left="567" w:right="52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200,000</w:t>
            </w:r>
          </w:p>
        </w:tc>
      </w:tr>
      <w:tr>
        <w:tblPrEx>
          <w:tblBorders>
            <w:top w:val="single" w:color="F4B083" w:themeColor="accent2" w:themeTint="99" w:sz="2" w:space="0"/>
            <w:left w:val="none" w:color="auto" w:sz="0" w:space="0"/>
            <w:bottom w:val="single" w:color="F4B083" w:themeColor="accent2" w:themeTint="99" w:sz="2" w:space="0"/>
            <w:right w:val="none" w:color="auto" w:sz="0"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Ex>
        <w:tc>
          <w:tcPr>
            <w:tcW w:w="4519" w:type="dxa"/>
            <w:shd w:val="clear" w:color="auto" w:fill="FBE4D5" w:themeFill="accent2" w:themeFillTint="33"/>
          </w:tcPr>
          <w:p>
            <w:pPr>
              <w:keepNext w:val="0"/>
              <w:keepLines w:val="0"/>
              <w:pageBreakBefore w:val="0"/>
              <w:widowControl/>
              <w:kinsoku/>
              <w:wordWrap/>
              <w:overflowPunct/>
              <w:topLinePunct w:val="0"/>
              <w:bidi w:val="0"/>
              <w:adjustRightInd/>
              <w:snapToGrid/>
              <w:spacing w:after="0" w:line="240" w:lineRule="auto"/>
              <w:ind w:left="567" w:right="521"/>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High Quality and Effective Equipments</w:t>
            </w:r>
          </w:p>
        </w:tc>
        <w:tc>
          <w:tcPr>
            <w:tcW w:w="4507" w:type="dxa"/>
            <w:shd w:val="clear" w:color="auto" w:fill="FBE4D5" w:themeFill="accent2" w:themeFillTint="33"/>
          </w:tcPr>
          <w:p>
            <w:pPr>
              <w:keepNext w:val="0"/>
              <w:keepLines w:val="0"/>
              <w:pageBreakBefore w:val="0"/>
              <w:widowControl/>
              <w:kinsoku/>
              <w:wordWrap/>
              <w:overflowPunct/>
              <w:topLinePunct w:val="0"/>
              <w:bidi w:val="0"/>
              <w:adjustRightInd/>
              <w:snapToGrid/>
              <w:spacing w:after="0" w:line="240" w:lineRule="auto"/>
              <w:ind w:left="567" w:right="52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1,000,000</w:t>
            </w:r>
          </w:p>
        </w:tc>
      </w:tr>
    </w:tbl>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sz w:val="18"/>
          <w:szCs w:val="18"/>
        </w:rPr>
      </w:pP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i/>
          <w:iCs/>
          <w:sz w:val="18"/>
          <w:szCs w:val="18"/>
        </w:rPr>
      </w:pPr>
      <w:r>
        <w:rPr>
          <w:rFonts w:hint="default" w:ascii="Times New Roman" w:hAnsi="Times New Roman" w:cs="Times New Roman"/>
          <w:i/>
          <w:iCs/>
          <w:sz w:val="18"/>
          <w:szCs w:val="18"/>
        </w:rPr>
        <w:t>*It is important to note that the cost analysis is based on estimating, assuming and approximating a 1 TPD plant of low-carbon hydrogen.</w:t>
      </w:r>
    </w:p>
    <w:p>
      <w:pPr>
        <w:pStyle w:val="9"/>
        <w:keepNext w:val="0"/>
        <w:keepLines w:val="0"/>
        <w:pageBreakBefore w:val="0"/>
        <w:widowControl/>
        <w:numPr>
          <w:ilvl w:val="1"/>
          <w:numId w:val="1"/>
        </w:numPr>
        <w:kinsoku/>
        <w:wordWrap/>
        <w:overflowPunct/>
        <w:topLinePunct w:val="0"/>
        <w:bidi w:val="0"/>
        <w:adjustRightInd/>
        <w:snapToGrid/>
        <w:spacing w:line="240" w:lineRule="auto"/>
        <w:ind w:left="567" w:right="521"/>
        <w:jc w:val="both"/>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Overall Cost-Benefit Analysis of Low-Carbon Hydrogen</w:t>
      </w:r>
    </w:p>
    <w:p>
      <w:pPr>
        <w:pStyle w:val="9"/>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b/>
          <w:bCs/>
          <w:sz w:val="18"/>
          <w:szCs w:val="18"/>
        </w:rPr>
      </w:pP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sz w:val="18"/>
          <w:szCs w:val="18"/>
        </w:rPr>
      </w:pPr>
      <w:r>
        <w:rPr>
          <w:rFonts w:hint="default" w:ascii="Times New Roman" w:hAnsi="Times New Roman" w:cs="Times New Roman"/>
          <w:sz w:val="18"/>
          <w:szCs w:val="18"/>
        </w:rPr>
        <w:t xml:space="preserve">Once the operational, development, and benefit-cost analyses were done based on the approximation and estimation of the low-carbon hydrogen production plant, it is essential to compare the analyses to get the benefit-cost ratio for the final cost-benefit analysis. </w:t>
      </w:r>
      <w:r>
        <w:rPr>
          <w:rFonts w:hint="default" w:ascii="Times New Roman" w:hAnsi="Times New Roman" w:cs="Times New Roman"/>
          <w:b/>
          <w:bCs/>
          <w:sz w:val="18"/>
          <w:szCs w:val="18"/>
        </w:rPr>
        <w:t xml:space="preserve">Table S3 </w:t>
      </w:r>
      <w:r>
        <w:rPr>
          <w:rFonts w:hint="default" w:ascii="Times New Roman" w:hAnsi="Times New Roman" w:cs="Times New Roman"/>
          <w:sz w:val="18"/>
          <w:szCs w:val="18"/>
        </w:rPr>
        <w:t>showcases the overall cost-benefit analysis of low-carbon hydrogen and national government subsidies.</w:t>
      </w: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b/>
          <w:bCs/>
          <w:sz w:val="18"/>
          <w:szCs w:val="18"/>
        </w:rPr>
      </w:pP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sz w:val="18"/>
          <w:szCs w:val="18"/>
        </w:rPr>
      </w:pPr>
      <w:r>
        <w:rPr>
          <w:rFonts w:hint="default" w:ascii="Times New Roman" w:hAnsi="Times New Roman" w:cs="Times New Roman"/>
          <w:b/>
          <w:bCs/>
          <w:sz w:val="18"/>
          <w:szCs w:val="18"/>
        </w:rPr>
        <w:t xml:space="preserve">Table S3: </w:t>
      </w:r>
      <w:r>
        <w:rPr>
          <w:rFonts w:hint="default" w:ascii="Times New Roman" w:hAnsi="Times New Roman" w:cs="Times New Roman"/>
          <w:sz w:val="18"/>
          <w:szCs w:val="18"/>
        </w:rPr>
        <w:t>Overall Cost-Benefit Analysis of Low-Carbon Hydrogen*.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1842"/>
        <w:gridCol w:w="1828"/>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keepNext w:val="0"/>
              <w:keepLines w:val="0"/>
              <w:pageBreakBefore w:val="0"/>
              <w:widowControl/>
              <w:kinsoku/>
              <w:wordWrap/>
              <w:overflowPunct/>
              <w:topLinePunct w:val="0"/>
              <w:bidi w:val="0"/>
              <w:adjustRightInd/>
              <w:snapToGrid/>
              <w:spacing w:after="0" w:line="240" w:lineRule="auto"/>
              <w:ind w:left="172" w:right="83"/>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National Government Subsidies</w:t>
            </w:r>
          </w:p>
        </w:tc>
        <w:tc>
          <w:tcPr>
            <w:tcW w:w="1842" w:type="dxa"/>
          </w:tcPr>
          <w:p>
            <w:pPr>
              <w:keepNext w:val="0"/>
              <w:keepLines w:val="0"/>
              <w:pageBreakBefore w:val="0"/>
              <w:widowControl/>
              <w:kinsoku/>
              <w:wordWrap/>
              <w:overflowPunct/>
              <w:topLinePunct w:val="0"/>
              <w:bidi w:val="0"/>
              <w:adjustRightInd/>
              <w:snapToGrid/>
              <w:spacing w:after="0" w:line="240" w:lineRule="auto"/>
              <w:ind w:left="176" w:right="7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25%</w:t>
            </w:r>
          </w:p>
        </w:tc>
        <w:tc>
          <w:tcPr>
            <w:tcW w:w="1828" w:type="dxa"/>
          </w:tcPr>
          <w:p>
            <w:pPr>
              <w:keepNext w:val="0"/>
              <w:keepLines w:val="0"/>
              <w:pageBreakBefore w:val="0"/>
              <w:widowControl/>
              <w:kinsoku/>
              <w:wordWrap/>
              <w:overflowPunct/>
              <w:topLinePunct w:val="0"/>
              <w:bidi w:val="0"/>
              <w:adjustRightInd/>
              <w:snapToGrid/>
              <w:spacing w:after="0" w:line="240" w:lineRule="auto"/>
              <w:ind w:left="150" w:right="16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50%</w:t>
            </w:r>
          </w:p>
        </w:tc>
        <w:tc>
          <w:tcPr>
            <w:tcW w:w="2090" w:type="dxa"/>
          </w:tcPr>
          <w:p>
            <w:pPr>
              <w:keepNext w:val="0"/>
              <w:keepLines w:val="0"/>
              <w:pageBreakBefore w:val="0"/>
              <w:widowControl/>
              <w:kinsoku/>
              <w:wordWrap/>
              <w:overflowPunct/>
              <w:topLinePunct w:val="0"/>
              <w:bidi w:val="0"/>
              <w:adjustRightInd/>
              <w:snapToGrid/>
              <w:spacing w:after="0" w:line="240" w:lineRule="auto"/>
              <w:ind w:left="193" w:right="268"/>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keepNext w:val="0"/>
              <w:keepLines w:val="0"/>
              <w:pageBreakBefore w:val="0"/>
              <w:widowControl/>
              <w:kinsoku/>
              <w:wordWrap/>
              <w:overflowPunct/>
              <w:topLinePunct w:val="0"/>
              <w:bidi w:val="0"/>
              <w:adjustRightInd/>
              <w:snapToGrid/>
              <w:spacing w:after="0" w:line="240" w:lineRule="auto"/>
              <w:ind w:left="172" w:right="83"/>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Total Low Carbon Hydrogen Industrial Plant-Revenue </w:t>
            </w:r>
          </w:p>
          <w:p>
            <w:pPr>
              <w:keepNext w:val="0"/>
              <w:keepLines w:val="0"/>
              <w:pageBreakBefore w:val="0"/>
              <w:widowControl/>
              <w:kinsoku/>
              <w:wordWrap/>
              <w:overflowPunct/>
              <w:topLinePunct w:val="0"/>
              <w:bidi w:val="0"/>
              <w:adjustRightInd/>
              <w:snapToGrid/>
              <w:spacing w:after="0" w:line="240" w:lineRule="auto"/>
              <w:ind w:left="172" w:right="83"/>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(30-year estimation)</w:t>
            </w:r>
          </w:p>
        </w:tc>
        <w:tc>
          <w:tcPr>
            <w:tcW w:w="1842" w:type="dxa"/>
          </w:tcPr>
          <w:p>
            <w:pPr>
              <w:keepNext w:val="0"/>
              <w:keepLines w:val="0"/>
              <w:pageBreakBefore w:val="0"/>
              <w:widowControl/>
              <w:kinsoku/>
              <w:wordWrap/>
              <w:overflowPunct/>
              <w:topLinePunct w:val="0"/>
              <w:bidi w:val="0"/>
              <w:adjustRightInd/>
              <w:snapToGrid/>
              <w:spacing w:after="0" w:line="240" w:lineRule="auto"/>
              <w:ind w:left="176" w:right="7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 xml:space="preserve">10.224 </w:t>
            </w:r>
          </w:p>
          <w:p>
            <w:pPr>
              <w:keepNext w:val="0"/>
              <w:keepLines w:val="0"/>
              <w:pageBreakBefore w:val="0"/>
              <w:widowControl/>
              <w:kinsoku/>
              <w:wordWrap/>
              <w:overflowPunct/>
              <w:topLinePunct w:val="0"/>
              <w:bidi w:val="0"/>
              <w:adjustRightInd/>
              <w:snapToGrid/>
              <w:spacing w:after="0" w:line="240" w:lineRule="auto"/>
              <w:ind w:left="176" w:right="7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(in million $)</w:t>
            </w:r>
          </w:p>
        </w:tc>
        <w:tc>
          <w:tcPr>
            <w:tcW w:w="1828" w:type="dxa"/>
          </w:tcPr>
          <w:p>
            <w:pPr>
              <w:keepNext w:val="0"/>
              <w:keepLines w:val="0"/>
              <w:pageBreakBefore w:val="0"/>
              <w:widowControl/>
              <w:kinsoku/>
              <w:wordWrap/>
              <w:overflowPunct/>
              <w:topLinePunct w:val="0"/>
              <w:bidi w:val="0"/>
              <w:adjustRightInd/>
              <w:snapToGrid/>
              <w:spacing w:after="0" w:line="240" w:lineRule="auto"/>
              <w:ind w:left="150" w:right="16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 xml:space="preserve">6.81625 </w:t>
            </w:r>
          </w:p>
          <w:p>
            <w:pPr>
              <w:keepNext w:val="0"/>
              <w:keepLines w:val="0"/>
              <w:pageBreakBefore w:val="0"/>
              <w:widowControl/>
              <w:kinsoku/>
              <w:wordWrap/>
              <w:overflowPunct/>
              <w:topLinePunct w:val="0"/>
              <w:bidi w:val="0"/>
              <w:adjustRightInd/>
              <w:snapToGrid/>
              <w:spacing w:after="0" w:line="240" w:lineRule="auto"/>
              <w:ind w:left="150" w:right="16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(in million $)</w:t>
            </w:r>
          </w:p>
        </w:tc>
        <w:tc>
          <w:tcPr>
            <w:tcW w:w="2090" w:type="dxa"/>
          </w:tcPr>
          <w:p>
            <w:pPr>
              <w:keepNext w:val="0"/>
              <w:keepLines w:val="0"/>
              <w:pageBreakBefore w:val="0"/>
              <w:widowControl/>
              <w:kinsoku/>
              <w:wordWrap/>
              <w:overflowPunct/>
              <w:topLinePunct w:val="0"/>
              <w:bidi w:val="0"/>
              <w:adjustRightInd/>
              <w:snapToGrid/>
              <w:spacing w:after="0" w:line="240" w:lineRule="auto"/>
              <w:ind w:left="193" w:right="268"/>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 xml:space="preserve">3.408 </w:t>
            </w:r>
          </w:p>
          <w:p>
            <w:pPr>
              <w:keepNext w:val="0"/>
              <w:keepLines w:val="0"/>
              <w:pageBreakBefore w:val="0"/>
              <w:widowControl/>
              <w:kinsoku/>
              <w:wordWrap/>
              <w:overflowPunct/>
              <w:topLinePunct w:val="0"/>
              <w:bidi w:val="0"/>
              <w:adjustRightInd/>
              <w:snapToGrid/>
              <w:spacing w:after="0" w:line="240" w:lineRule="auto"/>
              <w:ind w:left="193" w:right="268"/>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(in million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keepNext w:val="0"/>
              <w:keepLines w:val="0"/>
              <w:pageBreakBefore w:val="0"/>
              <w:widowControl/>
              <w:kinsoku/>
              <w:wordWrap/>
              <w:overflowPunct/>
              <w:topLinePunct w:val="0"/>
              <w:bidi w:val="0"/>
              <w:adjustRightInd/>
              <w:snapToGrid/>
              <w:spacing w:after="0" w:line="240" w:lineRule="auto"/>
              <w:ind w:left="172" w:right="83"/>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LCH Benefit</w:t>
            </w:r>
          </w:p>
        </w:tc>
        <w:tc>
          <w:tcPr>
            <w:tcW w:w="1842" w:type="dxa"/>
          </w:tcPr>
          <w:p>
            <w:pPr>
              <w:keepNext w:val="0"/>
              <w:keepLines w:val="0"/>
              <w:pageBreakBefore w:val="0"/>
              <w:widowControl/>
              <w:kinsoku/>
              <w:wordWrap/>
              <w:overflowPunct/>
              <w:topLinePunct w:val="0"/>
              <w:bidi w:val="0"/>
              <w:adjustRightInd/>
              <w:snapToGrid/>
              <w:spacing w:after="0" w:line="240" w:lineRule="auto"/>
              <w:ind w:left="176" w:right="7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 xml:space="preserve">1.0575 </w:t>
            </w:r>
          </w:p>
          <w:p>
            <w:pPr>
              <w:keepNext w:val="0"/>
              <w:keepLines w:val="0"/>
              <w:pageBreakBefore w:val="0"/>
              <w:widowControl/>
              <w:kinsoku/>
              <w:wordWrap/>
              <w:overflowPunct/>
              <w:topLinePunct w:val="0"/>
              <w:bidi w:val="0"/>
              <w:adjustRightInd/>
              <w:snapToGrid/>
              <w:spacing w:after="0" w:line="240" w:lineRule="auto"/>
              <w:ind w:left="176" w:right="7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(in million $)</w:t>
            </w:r>
          </w:p>
        </w:tc>
        <w:tc>
          <w:tcPr>
            <w:tcW w:w="1828" w:type="dxa"/>
          </w:tcPr>
          <w:p>
            <w:pPr>
              <w:keepNext w:val="0"/>
              <w:keepLines w:val="0"/>
              <w:pageBreakBefore w:val="0"/>
              <w:widowControl/>
              <w:kinsoku/>
              <w:wordWrap/>
              <w:overflowPunct/>
              <w:topLinePunct w:val="0"/>
              <w:bidi w:val="0"/>
              <w:adjustRightInd/>
              <w:snapToGrid/>
              <w:spacing w:after="0" w:line="240" w:lineRule="auto"/>
              <w:ind w:left="150" w:right="16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 xml:space="preserve">0.705 </w:t>
            </w:r>
          </w:p>
          <w:p>
            <w:pPr>
              <w:keepNext w:val="0"/>
              <w:keepLines w:val="0"/>
              <w:pageBreakBefore w:val="0"/>
              <w:widowControl/>
              <w:kinsoku/>
              <w:wordWrap/>
              <w:overflowPunct/>
              <w:topLinePunct w:val="0"/>
              <w:bidi w:val="0"/>
              <w:adjustRightInd/>
              <w:snapToGrid/>
              <w:spacing w:after="0" w:line="240" w:lineRule="auto"/>
              <w:ind w:left="150" w:right="16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(in million $)</w:t>
            </w:r>
          </w:p>
        </w:tc>
        <w:tc>
          <w:tcPr>
            <w:tcW w:w="2090" w:type="dxa"/>
          </w:tcPr>
          <w:p>
            <w:pPr>
              <w:keepNext w:val="0"/>
              <w:keepLines w:val="0"/>
              <w:pageBreakBefore w:val="0"/>
              <w:widowControl/>
              <w:kinsoku/>
              <w:wordWrap/>
              <w:overflowPunct/>
              <w:topLinePunct w:val="0"/>
              <w:bidi w:val="0"/>
              <w:adjustRightInd/>
              <w:snapToGrid/>
              <w:spacing w:after="0" w:line="240" w:lineRule="auto"/>
              <w:ind w:left="193" w:right="268"/>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 xml:space="preserve">.3525 </w:t>
            </w:r>
          </w:p>
          <w:p>
            <w:pPr>
              <w:keepNext w:val="0"/>
              <w:keepLines w:val="0"/>
              <w:pageBreakBefore w:val="0"/>
              <w:widowControl/>
              <w:kinsoku/>
              <w:wordWrap/>
              <w:overflowPunct/>
              <w:topLinePunct w:val="0"/>
              <w:bidi w:val="0"/>
              <w:adjustRightInd/>
              <w:snapToGrid/>
              <w:spacing w:after="0" w:line="240" w:lineRule="auto"/>
              <w:ind w:left="193" w:right="268"/>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(in million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keepNext w:val="0"/>
              <w:keepLines w:val="0"/>
              <w:pageBreakBefore w:val="0"/>
              <w:widowControl/>
              <w:kinsoku/>
              <w:wordWrap/>
              <w:overflowPunct/>
              <w:topLinePunct w:val="0"/>
              <w:bidi w:val="0"/>
              <w:adjustRightInd/>
              <w:snapToGrid/>
              <w:spacing w:after="0" w:line="240" w:lineRule="auto"/>
              <w:ind w:left="172" w:right="83"/>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Increased Productivity Addition</w:t>
            </w:r>
          </w:p>
        </w:tc>
        <w:tc>
          <w:tcPr>
            <w:tcW w:w="1842" w:type="dxa"/>
          </w:tcPr>
          <w:p>
            <w:pPr>
              <w:keepNext w:val="0"/>
              <w:keepLines w:val="0"/>
              <w:pageBreakBefore w:val="0"/>
              <w:widowControl/>
              <w:kinsoku/>
              <w:wordWrap/>
              <w:overflowPunct/>
              <w:topLinePunct w:val="0"/>
              <w:bidi w:val="0"/>
              <w:adjustRightInd/>
              <w:snapToGrid/>
              <w:spacing w:after="0" w:line="240" w:lineRule="auto"/>
              <w:ind w:left="176" w:right="7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 xml:space="preserve">9.1665 </w:t>
            </w:r>
          </w:p>
          <w:p>
            <w:pPr>
              <w:keepNext w:val="0"/>
              <w:keepLines w:val="0"/>
              <w:pageBreakBefore w:val="0"/>
              <w:widowControl/>
              <w:kinsoku/>
              <w:wordWrap/>
              <w:overflowPunct/>
              <w:topLinePunct w:val="0"/>
              <w:bidi w:val="0"/>
              <w:adjustRightInd/>
              <w:snapToGrid/>
              <w:spacing w:after="0" w:line="240" w:lineRule="auto"/>
              <w:ind w:left="176" w:right="7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(in million $)</w:t>
            </w:r>
          </w:p>
        </w:tc>
        <w:tc>
          <w:tcPr>
            <w:tcW w:w="1828" w:type="dxa"/>
          </w:tcPr>
          <w:p>
            <w:pPr>
              <w:keepNext w:val="0"/>
              <w:keepLines w:val="0"/>
              <w:pageBreakBefore w:val="0"/>
              <w:widowControl/>
              <w:kinsoku/>
              <w:wordWrap/>
              <w:overflowPunct/>
              <w:topLinePunct w:val="0"/>
              <w:bidi w:val="0"/>
              <w:adjustRightInd/>
              <w:snapToGrid/>
              <w:spacing w:after="0" w:line="240" w:lineRule="auto"/>
              <w:ind w:left="150" w:right="16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 xml:space="preserve">6.11125 </w:t>
            </w:r>
          </w:p>
          <w:p>
            <w:pPr>
              <w:keepNext w:val="0"/>
              <w:keepLines w:val="0"/>
              <w:pageBreakBefore w:val="0"/>
              <w:widowControl/>
              <w:kinsoku/>
              <w:wordWrap/>
              <w:overflowPunct/>
              <w:topLinePunct w:val="0"/>
              <w:bidi w:val="0"/>
              <w:adjustRightInd/>
              <w:snapToGrid/>
              <w:spacing w:after="0" w:line="240" w:lineRule="auto"/>
              <w:ind w:left="150" w:right="16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(in million $)</w:t>
            </w:r>
          </w:p>
        </w:tc>
        <w:tc>
          <w:tcPr>
            <w:tcW w:w="2090" w:type="dxa"/>
          </w:tcPr>
          <w:p>
            <w:pPr>
              <w:keepNext w:val="0"/>
              <w:keepLines w:val="0"/>
              <w:pageBreakBefore w:val="0"/>
              <w:widowControl/>
              <w:kinsoku/>
              <w:wordWrap/>
              <w:overflowPunct/>
              <w:topLinePunct w:val="0"/>
              <w:bidi w:val="0"/>
              <w:adjustRightInd/>
              <w:snapToGrid/>
              <w:spacing w:after="0" w:line="240" w:lineRule="auto"/>
              <w:ind w:left="193" w:right="268"/>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 xml:space="preserve">3.05 </w:t>
            </w:r>
          </w:p>
          <w:p>
            <w:pPr>
              <w:keepNext w:val="0"/>
              <w:keepLines w:val="0"/>
              <w:pageBreakBefore w:val="0"/>
              <w:widowControl/>
              <w:kinsoku/>
              <w:wordWrap/>
              <w:overflowPunct/>
              <w:topLinePunct w:val="0"/>
              <w:bidi w:val="0"/>
              <w:adjustRightInd/>
              <w:snapToGrid/>
              <w:spacing w:after="0" w:line="240" w:lineRule="auto"/>
              <w:ind w:left="193" w:right="268"/>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(in million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keepNext w:val="0"/>
              <w:keepLines w:val="0"/>
              <w:pageBreakBefore w:val="0"/>
              <w:widowControl/>
              <w:kinsoku/>
              <w:wordWrap/>
              <w:overflowPunct/>
              <w:topLinePunct w:val="0"/>
              <w:bidi w:val="0"/>
              <w:adjustRightInd/>
              <w:snapToGrid/>
              <w:spacing w:after="0" w:line="240" w:lineRule="auto"/>
              <w:ind w:left="172" w:right="83"/>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Net-Cost Benefit</w:t>
            </w:r>
          </w:p>
        </w:tc>
        <w:tc>
          <w:tcPr>
            <w:tcW w:w="1842" w:type="dxa"/>
          </w:tcPr>
          <w:p>
            <w:pPr>
              <w:keepNext w:val="0"/>
              <w:keepLines w:val="0"/>
              <w:pageBreakBefore w:val="0"/>
              <w:widowControl/>
              <w:kinsoku/>
              <w:wordWrap/>
              <w:overflowPunct/>
              <w:topLinePunct w:val="0"/>
              <w:bidi w:val="0"/>
              <w:adjustRightInd/>
              <w:snapToGrid/>
              <w:spacing w:after="0" w:line="240" w:lineRule="auto"/>
              <w:ind w:left="176" w:right="71"/>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8.72</w:t>
            </w:r>
          </w:p>
        </w:tc>
        <w:tc>
          <w:tcPr>
            <w:tcW w:w="1828" w:type="dxa"/>
          </w:tcPr>
          <w:p>
            <w:pPr>
              <w:keepNext w:val="0"/>
              <w:keepLines w:val="0"/>
              <w:pageBreakBefore w:val="0"/>
              <w:widowControl/>
              <w:kinsoku/>
              <w:wordWrap/>
              <w:overflowPunct/>
              <w:topLinePunct w:val="0"/>
              <w:bidi w:val="0"/>
              <w:adjustRightInd/>
              <w:snapToGrid/>
              <w:spacing w:after="0" w:line="240" w:lineRule="auto"/>
              <w:ind w:left="150" w:right="16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8.66</w:t>
            </w:r>
          </w:p>
        </w:tc>
        <w:tc>
          <w:tcPr>
            <w:tcW w:w="2090" w:type="dxa"/>
          </w:tcPr>
          <w:p>
            <w:pPr>
              <w:keepNext w:val="0"/>
              <w:keepLines w:val="0"/>
              <w:pageBreakBefore w:val="0"/>
              <w:widowControl/>
              <w:kinsoku/>
              <w:wordWrap/>
              <w:overflowPunct/>
              <w:topLinePunct w:val="0"/>
              <w:bidi w:val="0"/>
              <w:adjustRightInd/>
              <w:snapToGrid/>
              <w:spacing w:after="0" w:line="240" w:lineRule="auto"/>
              <w:ind w:left="193" w:right="268"/>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8.65</w:t>
            </w:r>
          </w:p>
        </w:tc>
      </w:tr>
    </w:tbl>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sz w:val="18"/>
          <w:szCs w:val="18"/>
        </w:rPr>
      </w:pP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i/>
          <w:iCs/>
          <w:sz w:val="18"/>
          <w:szCs w:val="18"/>
        </w:rPr>
      </w:pPr>
      <w:r>
        <w:rPr>
          <w:rFonts w:hint="default" w:ascii="Times New Roman" w:hAnsi="Times New Roman" w:cs="Times New Roman"/>
          <w:i/>
          <w:iCs/>
          <w:sz w:val="18"/>
          <w:szCs w:val="18"/>
        </w:rPr>
        <w:t>*It is important to note that the cost analysis is based on estimating, assuming and approximating a 1 TPD plant of low-carbon hydrogen.</w:t>
      </w: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i/>
          <w:iCs/>
          <w:sz w:val="18"/>
          <w:szCs w:val="18"/>
        </w:rPr>
      </w:pPr>
      <w:bookmarkStart w:id="0" w:name="_GoBack"/>
      <w:bookmarkEnd w:id="0"/>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Additional References: </w:t>
      </w:r>
    </w:p>
    <w:p>
      <w:pPr>
        <w:keepNext w:val="0"/>
        <w:keepLines w:val="0"/>
        <w:pageBreakBefore w:val="0"/>
        <w:widowControl/>
        <w:kinsoku/>
        <w:wordWrap/>
        <w:overflowPunct/>
        <w:topLinePunct w:val="0"/>
        <w:bidi w:val="0"/>
        <w:adjustRightInd/>
        <w:snapToGrid/>
        <w:spacing w:line="240" w:lineRule="auto"/>
        <w:ind w:left="567" w:right="521"/>
        <w:jc w:val="both"/>
        <w:textAlignment w:val="auto"/>
        <w:rPr>
          <w:rStyle w:val="8"/>
          <w:rFonts w:hint="default" w:ascii="Times New Roman" w:hAnsi="Times New Roman" w:eastAsia="Times New Roman" w:cs="Times New Roman"/>
          <w:sz w:val="18"/>
          <w:szCs w:val="18"/>
        </w:rPr>
      </w:pPr>
      <w:r>
        <w:rPr>
          <w:rFonts w:hint="default" w:ascii="Times New Roman" w:hAnsi="Times New Roman" w:cs="Times New Roman"/>
          <w:b w:val="0"/>
          <w:bCs w:val="0"/>
          <w:sz w:val="18"/>
          <w:szCs w:val="18"/>
        </w:rPr>
        <w:t>Bockris, J. O. M. (2013). The hydrogen economy: Its history.</w:t>
      </w:r>
      <w:r>
        <w:rPr>
          <w:rFonts w:hint="default" w:ascii="Times New Roman" w:hAnsi="Times New Roman" w:cs="Times New Roman"/>
          <w:b w:val="0"/>
          <w:bCs w:val="0"/>
          <w:i/>
          <w:iCs/>
          <w:sz w:val="18"/>
          <w:szCs w:val="18"/>
        </w:rPr>
        <w:t xml:space="preserve"> International Journal of Hydrogen Energy, </w:t>
      </w:r>
      <w:r>
        <w:rPr>
          <w:rFonts w:hint="default" w:ascii="Times New Roman" w:hAnsi="Times New Roman" w:cs="Times New Roman"/>
          <w:b w:val="0"/>
          <w:bCs w:val="0"/>
          <w:sz w:val="18"/>
          <w:szCs w:val="18"/>
        </w:rPr>
        <w:t>38(6), 2579-2588.</w:t>
      </w:r>
      <w:r>
        <w:rPr>
          <w:rFonts w:hint="eastAsia" w:ascii="Times New Roman" w:hAnsi="Times New Roman" w:eastAsia="宋体" w:cs="Times New Roman"/>
          <w:b w:val="0"/>
          <w:bCs w:val="0"/>
          <w:sz w:val="18"/>
          <w:szCs w:val="18"/>
          <w:lang w:val="en-US" w:eastAsia="zh-CN"/>
        </w:rPr>
        <w:t xml:space="preserve">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"https://doi.org/10.1016/j.ijhydene.2012.12.026" </w:instrText>
      </w:r>
      <w:r>
        <w:rPr>
          <w:rFonts w:hint="default" w:ascii="Times New Roman" w:hAnsi="Times New Roman" w:cs="Times New Roman"/>
          <w:sz w:val="18"/>
          <w:szCs w:val="18"/>
        </w:rPr>
        <w:fldChar w:fldCharType="separate"/>
      </w:r>
      <w:r>
        <w:rPr>
          <w:rStyle w:val="8"/>
          <w:rFonts w:hint="default" w:ascii="Times New Roman" w:hAnsi="Times New Roman" w:eastAsia="Times New Roman" w:cs="Times New Roman"/>
          <w:sz w:val="18"/>
          <w:szCs w:val="18"/>
        </w:rPr>
        <w:t>https://doi.org/10.1016/j.ijhydene.2012.12.026</w:t>
      </w:r>
      <w:r>
        <w:rPr>
          <w:rStyle w:val="8"/>
          <w:rFonts w:hint="default" w:ascii="Times New Roman" w:hAnsi="Times New Roman" w:eastAsia="Times New Roman" w:cs="Times New Roman"/>
          <w:sz w:val="18"/>
          <w:szCs w:val="18"/>
        </w:rPr>
        <w:fldChar w:fldCharType="end"/>
      </w:r>
    </w:p>
    <w:p>
      <w:pPr>
        <w:keepNext w:val="0"/>
        <w:keepLines w:val="0"/>
        <w:pageBreakBefore w:val="0"/>
        <w:widowControl/>
        <w:kinsoku/>
        <w:wordWrap/>
        <w:overflowPunct/>
        <w:topLinePunct w:val="0"/>
        <w:bidi w:val="0"/>
        <w:adjustRightInd/>
        <w:snapToGrid/>
        <w:spacing w:line="240" w:lineRule="auto"/>
        <w:ind w:left="567" w:right="521"/>
        <w:jc w:val="both"/>
        <w:textAlignment w:val="auto"/>
        <w:rPr>
          <w:rStyle w:val="8"/>
          <w:rFonts w:hint="default" w:ascii="Times New Roman" w:hAnsi="Times New Roman" w:eastAsia="Times New Roman" w:cs="Times New Roman"/>
          <w:sz w:val="18"/>
          <w:szCs w:val="18"/>
        </w:rPr>
      </w:pPr>
      <w:r>
        <w:rPr>
          <w:rFonts w:hint="default" w:ascii="Times New Roman" w:hAnsi="Times New Roman" w:cs="Times New Roman"/>
          <w:b w:val="0"/>
          <w:bCs w:val="0"/>
          <w:sz w:val="18"/>
          <w:szCs w:val="18"/>
        </w:rPr>
        <w:t xml:space="preserve">Chew, Y. E., Cheng, X. H., Loy, A. C. M., How, B. S., &amp; Andiappan, V. (2023). Beyond the colours of hydrogen: opportunities for process systems engineering in hydrogen economy. </w:t>
      </w:r>
      <w:r>
        <w:rPr>
          <w:rFonts w:hint="default" w:ascii="Times New Roman" w:hAnsi="Times New Roman" w:cs="Times New Roman"/>
          <w:b w:val="0"/>
          <w:bCs w:val="0"/>
          <w:i/>
          <w:iCs/>
          <w:sz w:val="18"/>
          <w:szCs w:val="18"/>
        </w:rPr>
        <w:t>Process Integration and Optimization for Sustainability</w:t>
      </w:r>
      <w:r>
        <w:rPr>
          <w:rFonts w:hint="default" w:ascii="Times New Roman" w:hAnsi="Times New Roman" w:cs="Times New Roman"/>
          <w:b w:val="0"/>
          <w:bCs w:val="0"/>
          <w:sz w:val="18"/>
          <w:szCs w:val="18"/>
        </w:rPr>
        <w:t>, 7(4), 941-950.</w:t>
      </w:r>
      <w:r>
        <w:rPr>
          <w:rFonts w:hint="eastAsia" w:ascii="Times New Roman" w:hAnsi="Times New Roman" w:eastAsia="宋体" w:cs="Times New Roman"/>
          <w:b w:val="0"/>
          <w:bCs w:val="0"/>
          <w:sz w:val="18"/>
          <w:szCs w:val="18"/>
          <w:lang w:val="en-US" w:eastAsia="zh-CN"/>
        </w:rPr>
        <w:t xml:space="preserve">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"https://doi.org/10.1007/s41660-023-00324-z" </w:instrText>
      </w:r>
      <w:r>
        <w:rPr>
          <w:rFonts w:hint="default" w:ascii="Times New Roman" w:hAnsi="Times New Roman" w:cs="Times New Roman"/>
          <w:sz w:val="18"/>
          <w:szCs w:val="18"/>
        </w:rPr>
        <w:fldChar w:fldCharType="separate"/>
      </w:r>
      <w:r>
        <w:rPr>
          <w:rStyle w:val="8"/>
          <w:rFonts w:hint="default" w:ascii="Times New Roman" w:hAnsi="Times New Roman" w:eastAsia="Times New Roman" w:cs="Times New Roman"/>
          <w:sz w:val="18"/>
          <w:szCs w:val="18"/>
        </w:rPr>
        <w:t>https://doi.org/10.1007/s41660-023-00324-z</w:t>
      </w:r>
      <w:r>
        <w:rPr>
          <w:rStyle w:val="8"/>
          <w:rFonts w:hint="default" w:ascii="Times New Roman" w:hAnsi="Times New Roman" w:eastAsia="Times New Roman" w:cs="Times New Roman"/>
          <w:sz w:val="18"/>
          <w:szCs w:val="18"/>
        </w:rPr>
        <w:fldChar w:fldCharType="end"/>
      </w:r>
    </w:p>
    <w:p>
      <w:pPr>
        <w:keepNext w:val="0"/>
        <w:keepLines w:val="0"/>
        <w:pageBreakBefore w:val="0"/>
        <w:widowControl/>
        <w:kinsoku/>
        <w:wordWrap/>
        <w:overflowPunct/>
        <w:topLinePunct w:val="0"/>
        <w:bidi w:val="0"/>
        <w:adjustRightInd/>
        <w:snapToGrid/>
        <w:spacing w:line="240" w:lineRule="auto"/>
        <w:ind w:left="567" w:right="521"/>
        <w:jc w:val="both"/>
        <w:textAlignment w:val="auto"/>
        <w:rPr>
          <w:rStyle w:val="8"/>
          <w:rFonts w:hint="default" w:ascii="Times New Roman" w:hAnsi="Times New Roman" w:eastAsia="Times New Roman" w:cs="Times New Roman"/>
          <w:sz w:val="18"/>
          <w:szCs w:val="18"/>
        </w:rPr>
      </w:pPr>
      <w:r>
        <w:rPr>
          <w:rFonts w:hint="default" w:ascii="Times New Roman" w:hAnsi="Times New Roman" w:cs="Times New Roman"/>
          <w:b w:val="0"/>
          <w:bCs w:val="0"/>
          <w:sz w:val="18"/>
          <w:szCs w:val="18"/>
        </w:rPr>
        <w:t xml:space="preserve">Dillman, K. J., &amp; Heinonen, J. (2022). A ‘just’hydrogen economy: a normative energy justice assessment of the hydrogen economy. </w:t>
      </w:r>
      <w:r>
        <w:rPr>
          <w:rFonts w:hint="default" w:ascii="Times New Roman" w:hAnsi="Times New Roman" w:cs="Times New Roman"/>
          <w:b w:val="0"/>
          <w:bCs w:val="0"/>
          <w:i/>
          <w:iCs/>
          <w:sz w:val="18"/>
          <w:szCs w:val="18"/>
        </w:rPr>
        <w:t>Renewable and Sustainable Energy Reviews,</w:t>
      </w:r>
      <w:r>
        <w:rPr>
          <w:rFonts w:hint="default" w:ascii="Times New Roman" w:hAnsi="Times New Roman" w:cs="Times New Roman"/>
          <w:b w:val="0"/>
          <w:bCs w:val="0"/>
          <w:sz w:val="18"/>
          <w:szCs w:val="18"/>
        </w:rPr>
        <w:t xml:space="preserve"> 167, 112648.</w:t>
      </w:r>
      <w:r>
        <w:rPr>
          <w:rFonts w:hint="eastAsia" w:ascii="Times New Roman" w:hAnsi="Times New Roman" w:eastAsia="宋体" w:cs="Times New Roman"/>
          <w:b w:val="0"/>
          <w:bCs w:val="0"/>
          <w:sz w:val="18"/>
          <w:szCs w:val="18"/>
          <w:lang w:val="en-US" w:eastAsia="zh-CN"/>
        </w:rPr>
        <w:t xml:space="preserve">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"https://doi.org/10.1016/j.rser.2022.112648" </w:instrText>
      </w:r>
      <w:r>
        <w:rPr>
          <w:rFonts w:hint="default" w:ascii="Times New Roman" w:hAnsi="Times New Roman" w:cs="Times New Roman"/>
          <w:sz w:val="18"/>
          <w:szCs w:val="18"/>
        </w:rPr>
        <w:fldChar w:fldCharType="separate"/>
      </w:r>
      <w:r>
        <w:rPr>
          <w:rStyle w:val="8"/>
          <w:rFonts w:hint="default" w:ascii="Times New Roman" w:hAnsi="Times New Roman" w:eastAsia="Times New Roman" w:cs="Times New Roman"/>
          <w:sz w:val="18"/>
          <w:szCs w:val="18"/>
        </w:rPr>
        <w:t>https://doi.org/10.1016/j.rser.2022.112648</w:t>
      </w:r>
      <w:r>
        <w:rPr>
          <w:rStyle w:val="8"/>
          <w:rFonts w:hint="default" w:ascii="Times New Roman" w:hAnsi="Times New Roman" w:eastAsia="Times New Roman" w:cs="Times New Roman"/>
          <w:sz w:val="18"/>
          <w:szCs w:val="18"/>
        </w:rPr>
        <w:fldChar w:fldCharType="end"/>
      </w: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eastAsia" w:ascii="Times New Roman" w:hAnsi="Times New Roman" w:eastAsia="宋体" w:cs="Times New Roman"/>
          <w:b w:val="0"/>
          <w:bCs w:val="0"/>
          <w:sz w:val="18"/>
          <w:szCs w:val="18"/>
          <w:lang w:val="en-US" w:eastAsia="zh-CN"/>
        </w:rPr>
      </w:pPr>
      <w:r>
        <w:rPr>
          <w:rFonts w:hint="default" w:ascii="Times New Roman" w:hAnsi="Times New Roman" w:cs="Times New Roman"/>
          <w:b w:val="0"/>
          <w:bCs w:val="0"/>
          <w:sz w:val="18"/>
          <w:szCs w:val="18"/>
        </w:rPr>
        <w:t xml:space="preserve">Liu, J., Hu, C., Kimber, A., &amp; Wang, Z. (2020). Uses, cost-benefit analysis, and markets of energy storage systems for electric grid applications. </w:t>
      </w:r>
      <w:r>
        <w:rPr>
          <w:rFonts w:hint="default" w:ascii="Times New Roman" w:hAnsi="Times New Roman" w:cs="Times New Roman"/>
          <w:b w:val="0"/>
          <w:bCs w:val="0"/>
          <w:i/>
          <w:iCs/>
          <w:sz w:val="18"/>
          <w:szCs w:val="18"/>
        </w:rPr>
        <w:t>Journal of Energy Storage,</w:t>
      </w:r>
      <w:r>
        <w:rPr>
          <w:rFonts w:hint="default" w:ascii="Times New Roman" w:hAnsi="Times New Roman" w:cs="Times New Roman"/>
          <w:b w:val="0"/>
          <w:bCs w:val="0"/>
          <w:sz w:val="18"/>
          <w:szCs w:val="18"/>
        </w:rPr>
        <w:t xml:space="preserve"> 32, 101731.</w:t>
      </w:r>
      <w:r>
        <w:rPr>
          <w:rFonts w:hint="eastAsia" w:ascii="Times New Roman" w:hAnsi="Times New Roman" w:eastAsia="宋体" w:cs="Times New Roman"/>
          <w:b w:val="0"/>
          <w:bCs w:val="0"/>
          <w:sz w:val="18"/>
          <w:szCs w:val="18"/>
          <w:lang w:val="en-US" w:eastAsia="zh-CN"/>
        </w:rPr>
        <w:t xml:space="preserve"> </w:t>
      </w:r>
      <w:r>
        <w:rPr>
          <w:rFonts w:hint="eastAsia" w:ascii="Times New Roman" w:hAnsi="Times New Roman" w:eastAsia="宋体" w:cs="Times New Roman"/>
          <w:b w:val="0"/>
          <w:bCs w:val="0"/>
          <w:sz w:val="18"/>
          <w:szCs w:val="18"/>
          <w:lang w:val="en-US" w:eastAsia="zh-CN"/>
        </w:rPr>
        <w:fldChar w:fldCharType="begin"/>
      </w:r>
      <w:r>
        <w:rPr>
          <w:rFonts w:hint="eastAsia" w:ascii="Times New Roman" w:hAnsi="Times New Roman" w:eastAsia="宋体" w:cs="Times New Roman"/>
          <w:b w:val="0"/>
          <w:bCs w:val="0"/>
          <w:sz w:val="18"/>
          <w:szCs w:val="18"/>
          <w:lang w:val="en-US" w:eastAsia="zh-CN"/>
        </w:rPr>
        <w:instrText xml:space="preserve"> HYPERLINK "https://doi.org/10.1016/j.est.2020.101731" </w:instrText>
      </w:r>
      <w:r>
        <w:rPr>
          <w:rFonts w:hint="eastAsia" w:ascii="Times New Roman" w:hAnsi="Times New Roman" w:eastAsia="宋体" w:cs="Times New Roman"/>
          <w:b w:val="0"/>
          <w:bCs w:val="0"/>
          <w:sz w:val="18"/>
          <w:szCs w:val="18"/>
          <w:lang w:val="en-US" w:eastAsia="zh-CN"/>
        </w:rPr>
        <w:fldChar w:fldCharType="separate"/>
      </w:r>
      <w:r>
        <w:rPr>
          <w:rStyle w:val="8"/>
          <w:rFonts w:hint="eastAsia" w:ascii="Times New Roman" w:hAnsi="Times New Roman" w:eastAsia="宋体" w:cs="Times New Roman"/>
          <w:b w:val="0"/>
          <w:bCs w:val="0"/>
          <w:sz w:val="18"/>
          <w:szCs w:val="18"/>
          <w:lang w:val="en-US" w:eastAsia="zh-CN"/>
        </w:rPr>
        <w:t>https://doi.org/10.1016/j.est.2020.101731</w:t>
      </w:r>
      <w:r>
        <w:rPr>
          <w:rFonts w:hint="eastAsia" w:ascii="Times New Roman" w:hAnsi="Times New Roman" w:eastAsia="宋体" w:cs="Times New Roman"/>
          <w:b w:val="0"/>
          <w:bCs w:val="0"/>
          <w:sz w:val="18"/>
          <w:szCs w:val="18"/>
          <w:lang w:val="en-US" w:eastAsia="zh-CN"/>
        </w:rPr>
        <w:fldChar w:fldCharType="end"/>
      </w: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eastAsia"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 xml:space="preserve">Rodrigues, S., Restrepo, C., Kontos, E., Pinto, R. T., &amp; Bauer, P. (2015). Trends of offshore wind projects. </w:t>
      </w:r>
      <w:r>
        <w:rPr>
          <w:rFonts w:hint="default" w:ascii="Times New Roman" w:hAnsi="Times New Roman" w:eastAsia="Times New Roman" w:cs="Times New Roman"/>
          <w:i/>
          <w:iCs/>
          <w:sz w:val="18"/>
          <w:szCs w:val="18"/>
        </w:rPr>
        <w:t>Renewable and Sustainable Energy Reviews</w:t>
      </w:r>
      <w:r>
        <w:rPr>
          <w:rFonts w:hint="eastAsia" w:ascii="Times New Roman" w:hAnsi="Times New Roman" w:eastAsia="宋体" w:cs="Times New Roman"/>
          <w:b w:val="0"/>
          <w:bCs w:val="0"/>
          <w:sz w:val="18"/>
          <w:szCs w:val="18"/>
          <w:lang w:val="en-US" w:eastAsia="zh-CN"/>
        </w:rPr>
        <w:t xml:space="preserve">, 49, 1114-1135. </w:t>
      </w:r>
      <w:r>
        <w:rPr>
          <w:rFonts w:hint="eastAsia" w:ascii="Times New Roman" w:hAnsi="Times New Roman" w:eastAsia="宋体" w:cs="Times New Roman"/>
          <w:b w:val="0"/>
          <w:bCs w:val="0"/>
          <w:sz w:val="18"/>
          <w:szCs w:val="18"/>
          <w:lang w:val="en-US" w:eastAsia="zh-CN"/>
        </w:rPr>
        <w:fldChar w:fldCharType="begin"/>
      </w:r>
      <w:r>
        <w:rPr>
          <w:rFonts w:hint="eastAsia" w:ascii="Times New Roman" w:hAnsi="Times New Roman" w:eastAsia="宋体" w:cs="Times New Roman"/>
          <w:b w:val="0"/>
          <w:bCs w:val="0"/>
          <w:sz w:val="18"/>
          <w:szCs w:val="18"/>
          <w:lang w:val="en-US" w:eastAsia="zh-CN"/>
        </w:rPr>
        <w:instrText xml:space="preserve"> HYPERLINK "https://doi.org/10.1016/j.rser.2015.04.092" </w:instrText>
      </w:r>
      <w:r>
        <w:rPr>
          <w:rFonts w:hint="eastAsia" w:ascii="Times New Roman" w:hAnsi="Times New Roman" w:eastAsia="宋体" w:cs="Times New Roman"/>
          <w:b w:val="0"/>
          <w:bCs w:val="0"/>
          <w:sz w:val="18"/>
          <w:szCs w:val="18"/>
          <w:lang w:val="en-US" w:eastAsia="zh-CN"/>
        </w:rPr>
        <w:fldChar w:fldCharType="separate"/>
      </w:r>
      <w:r>
        <w:rPr>
          <w:rStyle w:val="8"/>
          <w:rFonts w:hint="eastAsia" w:ascii="Times New Roman" w:hAnsi="Times New Roman" w:eastAsia="宋体" w:cs="Times New Roman"/>
          <w:b w:val="0"/>
          <w:bCs w:val="0"/>
          <w:sz w:val="18"/>
          <w:szCs w:val="18"/>
          <w:lang w:val="en-US" w:eastAsia="zh-CN"/>
        </w:rPr>
        <w:t>https://doi.org/10.1016/j.rser.2015.04.092</w:t>
      </w:r>
      <w:r>
        <w:rPr>
          <w:rFonts w:hint="eastAsia" w:ascii="Times New Roman" w:hAnsi="Times New Roman" w:eastAsia="宋体" w:cs="Times New Roman"/>
          <w:b w:val="0"/>
          <w:bCs w:val="0"/>
          <w:sz w:val="18"/>
          <w:szCs w:val="18"/>
          <w:lang w:val="en-US" w:eastAsia="zh-CN"/>
        </w:rPr>
        <w:fldChar w:fldCharType="end"/>
      </w: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eastAsia"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 xml:space="preserve">Sherif, S. A., Barbir, F., &amp; Veziroglu, T. N. (2005). Wind energy and the hydrogen economy—review of the technology. </w:t>
      </w:r>
      <w:r>
        <w:rPr>
          <w:rFonts w:hint="default" w:ascii="Times New Roman" w:hAnsi="Times New Roman" w:eastAsia="宋体" w:cs="Times New Roman"/>
          <w:b w:val="0"/>
          <w:bCs w:val="0"/>
          <w:i/>
          <w:iCs/>
          <w:sz w:val="18"/>
          <w:szCs w:val="18"/>
          <w:lang w:val="en-US" w:eastAsia="zh-CN"/>
        </w:rPr>
        <w:t xml:space="preserve">Solar </w:t>
      </w:r>
      <w:r>
        <w:rPr>
          <w:rFonts w:hint="eastAsia" w:ascii="Times New Roman" w:hAnsi="Times New Roman" w:eastAsia="宋体" w:cs="Times New Roman"/>
          <w:b w:val="0"/>
          <w:bCs w:val="0"/>
          <w:i/>
          <w:iCs/>
          <w:sz w:val="18"/>
          <w:szCs w:val="18"/>
          <w:lang w:val="en-US" w:eastAsia="zh-CN"/>
        </w:rPr>
        <w:t>E</w:t>
      </w:r>
      <w:r>
        <w:rPr>
          <w:rFonts w:hint="default" w:ascii="Times New Roman" w:hAnsi="Times New Roman" w:eastAsia="宋体" w:cs="Times New Roman"/>
          <w:b w:val="0"/>
          <w:bCs w:val="0"/>
          <w:i/>
          <w:iCs/>
          <w:sz w:val="18"/>
          <w:szCs w:val="18"/>
          <w:lang w:val="en-US" w:eastAsia="zh-CN"/>
        </w:rPr>
        <w:t>nergy</w:t>
      </w:r>
      <w:r>
        <w:rPr>
          <w:rFonts w:hint="default" w:ascii="Times New Roman" w:hAnsi="Times New Roman" w:eastAsia="宋体" w:cs="Times New Roman"/>
          <w:b w:val="0"/>
          <w:bCs w:val="0"/>
          <w:sz w:val="18"/>
          <w:szCs w:val="18"/>
          <w:lang w:val="en-US" w:eastAsia="zh-CN"/>
        </w:rPr>
        <w:t>, 78(5), 647-660.</w:t>
      </w:r>
      <w:r>
        <w:rPr>
          <w:rFonts w:hint="eastAsia" w:ascii="Times New Roman" w:hAnsi="Times New Roman" w:eastAsia="宋体" w:cs="Times New Roman"/>
          <w:b w:val="0"/>
          <w:bCs w:val="0"/>
          <w:sz w:val="18"/>
          <w:szCs w:val="18"/>
          <w:lang w:val="en-US" w:eastAsia="zh-CN"/>
        </w:rPr>
        <w:t xml:space="preserve"> </w:t>
      </w:r>
      <w:r>
        <w:rPr>
          <w:rFonts w:hint="eastAsia" w:ascii="Times New Roman" w:hAnsi="Times New Roman" w:eastAsia="宋体" w:cs="Times New Roman"/>
          <w:b w:val="0"/>
          <w:bCs w:val="0"/>
          <w:sz w:val="18"/>
          <w:szCs w:val="18"/>
          <w:lang w:val="en-US" w:eastAsia="zh-CN"/>
        </w:rPr>
        <w:fldChar w:fldCharType="begin"/>
      </w:r>
      <w:r>
        <w:rPr>
          <w:rFonts w:hint="eastAsia" w:ascii="Times New Roman" w:hAnsi="Times New Roman" w:eastAsia="宋体" w:cs="Times New Roman"/>
          <w:b w:val="0"/>
          <w:bCs w:val="0"/>
          <w:sz w:val="18"/>
          <w:szCs w:val="18"/>
          <w:lang w:val="en-US" w:eastAsia="zh-CN"/>
        </w:rPr>
        <w:instrText xml:space="preserve"> HYPERLINK "https://doi.org/10.1016/j.solener.2005.01.002" </w:instrText>
      </w:r>
      <w:r>
        <w:rPr>
          <w:rFonts w:hint="eastAsia" w:ascii="Times New Roman" w:hAnsi="Times New Roman" w:eastAsia="宋体" w:cs="Times New Roman"/>
          <w:b w:val="0"/>
          <w:bCs w:val="0"/>
          <w:sz w:val="18"/>
          <w:szCs w:val="18"/>
          <w:lang w:val="en-US" w:eastAsia="zh-CN"/>
        </w:rPr>
        <w:fldChar w:fldCharType="separate"/>
      </w:r>
      <w:r>
        <w:rPr>
          <w:rStyle w:val="8"/>
          <w:rFonts w:hint="eastAsia" w:ascii="Times New Roman" w:hAnsi="Times New Roman" w:eastAsia="宋体" w:cs="Times New Roman"/>
          <w:b w:val="0"/>
          <w:bCs w:val="0"/>
          <w:sz w:val="18"/>
          <w:szCs w:val="18"/>
          <w:lang w:val="en-US" w:eastAsia="zh-CN"/>
        </w:rPr>
        <w:t>https://doi.org/10.1016/j.solener.2005.01.002</w:t>
      </w:r>
      <w:r>
        <w:rPr>
          <w:rFonts w:hint="eastAsia" w:ascii="Times New Roman" w:hAnsi="Times New Roman" w:eastAsia="宋体" w:cs="Times New Roman"/>
          <w:b w:val="0"/>
          <w:bCs w:val="0"/>
          <w:sz w:val="18"/>
          <w:szCs w:val="18"/>
          <w:lang w:val="en-US" w:eastAsia="zh-CN"/>
        </w:rPr>
        <w:fldChar w:fldCharType="end"/>
      </w: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eastAsia"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 xml:space="preserve">Shih, Y. H., &amp; Tseng, C. H. (2014). Cost-benefit analysis of sustainable energy development using life-cycle co-benefits assessment and the system dynamics approach. </w:t>
      </w:r>
      <w:r>
        <w:rPr>
          <w:rFonts w:hint="default" w:ascii="Times New Roman" w:hAnsi="Times New Roman" w:eastAsia="宋体" w:cs="Times New Roman"/>
          <w:b w:val="0"/>
          <w:bCs w:val="0"/>
          <w:i/>
          <w:iCs/>
          <w:sz w:val="18"/>
          <w:szCs w:val="18"/>
          <w:lang w:val="en-US" w:eastAsia="zh-CN"/>
        </w:rPr>
        <w:t xml:space="preserve">Applied </w:t>
      </w:r>
      <w:r>
        <w:rPr>
          <w:rFonts w:hint="eastAsia" w:ascii="Times New Roman" w:hAnsi="Times New Roman" w:eastAsia="宋体" w:cs="Times New Roman"/>
          <w:b w:val="0"/>
          <w:bCs w:val="0"/>
          <w:i/>
          <w:iCs/>
          <w:sz w:val="18"/>
          <w:szCs w:val="18"/>
          <w:lang w:val="en-US" w:eastAsia="zh-CN"/>
        </w:rPr>
        <w:t>E</w:t>
      </w:r>
      <w:r>
        <w:rPr>
          <w:rFonts w:hint="default" w:ascii="Times New Roman" w:hAnsi="Times New Roman" w:eastAsia="宋体" w:cs="Times New Roman"/>
          <w:b w:val="0"/>
          <w:bCs w:val="0"/>
          <w:i/>
          <w:iCs/>
          <w:sz w:val="18"/>
          <w:szCs w:val="18"/>
          <w:lang w:val="en-US" w:eastAsia="zh-CN"/>
        </w:rPr>
        <w:t>nergy,</w:t>
      </w:r>
      <w:r>
        <w:rPr>
          <w:rFonts w:hint="default" w:ascii="Times New Roman" w:hAnsi="Times New Roman" w:eastAsia="宋体" w:cs="Times New Roman"/>
          <w:b w:val="0"/>
          <w:bCs w:val="0"/>
          <w:sz w:val="18"/>
          <w:szCs w:val="18"/>
          <w:lang w:val="en-US" w:eastAsia="zh-CN"/>
        </w:rPr>
        <w:t xml:space="preserve"> 119, 57-66.</w:t>
      </w:r>
      <w:r>
        <w:rPr>
          <w:rFonts w:hint="eastAsia" w:ascii="Times New Roman" w:hAnsi="Times New Roman" w:eastAsia="宋体" w:cs="Times New Roman"/>
          <w:b w:val="0"/>
          <w:bCs w:val="0"/>
          <w:sz w:val="18"/>
          <w:szCs w:val="18"/>
          <w:lang w:val="en-US" w:eastAsia="zh-CN"/>
        </w:rPr>
        <w:t xml:space="preserve"> </w:t>
      </w:r>
      <w:r>
        <w:rPr>
          <w:rFonts w:hint="eastAsia" w:ascii="Times New Roman" w:hAnsi="Times New Roman" w:eastAsia="宋体" w:cs="Times New Roman"/>
          <w:b w:val="0"/>
          <w:bCs w:val="0"/>
          <w:sz w:val="18"/>
          <w:szCs w:val="18"/>
          <w:lang w:val="en-US" w:eastAsia="zh-CN"/>
        </w:rPr>
        <w:fldChar w:fldCharType="begin"/>
      </w:r>
      <w:r>
        <w:rPr>
          <w:rFonts w:hint="eastAsia" w:ascii="Times New Roman" w:hAnsi="Times New Roman" w:eastAsia="宋体" w:cs="Times New Roman"/>
          <w:b w:val="0"/>
          <w:bCs w:val="0"/>
          <w:sz w:val="18"/>
          <w:szCs w:val="18"/>
          <w:lang w:val="en-US" w:eastAsia="zh-CN"/>
        </w:rPr>
        <w:instrText xml:space="preserve"> HYPERLINK "https://doi.org/10.1016/j.apenergy.2013.12.031" </w:instrText>
      </w:r>
      <w:r>
        <w:rPr>
          <w:rFonts w:hint="eastAsia" w:ascii="Times New Roman" w:hAnsi="Times New Roman" w:eastAsia="宋体" w:cs="Times New Roman"/>
          <w:b w:val="0"/>
          <w:bCs w:val="0"/>
          <w:sz w:val="18"/>
          <w:szCs w:val="18"/>
          <w:lang w:val="en-US" w:eastAsia="zh-CN"/>
        </w:rPr>
        <w:fldChar w:fldCharType="separate"/>
      </w:r>
      <w:r>
        <w:rPr>
          <w:rStyle w:val="8"/>
          <w:rFonts w:hint="eastAsia" w:ascii="Times New Roman" w:hAnsi="Times New Roman" w:eastAsia="宋体" w:cs="Times New Roman"/>
          <w:b w:val="0"/>
          <w:bCs w:val="0"/>
          <w:sz w:val="18"/>
          <w:szCs w:val="18"/>
          <w:lang w:val="en-US" w:eastAsia="zh-CN"/>
        </w:rPr>
        <w:t>https://doi.org/10.1016/j.apenergy.2013.12.031</w:t>
      </w:r>
      <w:r>
        <w:rPr>
          <w:rFonts w:hint="eastAsia" w:ascii="Times New Roman" w:hAnsi="Times New Roman" w:eastAsia="宋体" w:cs="Times New Roman"/>
          <w:b w:val="0"/>
          <w:bCs w:val="0"/>
          <w:sz w:val="18"/>
          <w:szCs w:val="18"/>
          <w:lang w:val="en-US" w:eastAsia="zh-CN"/>
        </w:rPr>
        <w:fldChar w:fldCharType="end"/>
      </w: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eastAsia"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 xml:space="preserve">Snyder, B., &amp; Kaiser, M. J. (2009). Ecological and economic cost-benefit analysis of offshore wind energy. </w:t>
      </w:r>
      <w:r>
        <w:rPr>
          <w:rFonts w:hint="default" w:ascii="Times New Roman" w:hAnsi="Times New Roman" w:eastAsia="宋体" w:cs="Times New Roman"/>
          <w:b w:val="0"/>
          <w:bCs w:val="0"/>
          <w:i/>
          <w:iCs/>
          <w:sz w:val="18"/>
          <w:szCs w:val="18"/>
          <w:lang w:val="en-US" w:eastAsia="zh-CN"/>
        </w:rPr>
        <w:t xml:space="preserve">Renewable </w:t>
      </w:r>
      <w:r>
        <w:rPr>
          <w:rFonts w:hint="eastAsia" w:ascii="Times New Roman" w:hAnsi="Times New Roman" w:eastAsia="宋体" w:cs="Times New Roman"/>
          <w:b w:val="0"/>
          <w:bCs w:val="0"/>
          <w:i/>
          <w:iCs/>
          <w:sz w:val="18"/>
          <w:szCs w:val="18"/>
          <w:lang w:val="en-US" w:eastAsia="zh-CN"/>
        </w:rPr>
        <w:t>E</w:t>
      </w:r>
      <w:r>
        <w:rPr>
          <w:rFonts w:hint="default" w:ascii="Times New Roman" w:hAnsi="Times New Roman" w:eastAsia="宋体" w:cs="Times New Roman"/>
          <w:b w:val="0"/>
          <w:bCs w:val="0"/>
          <w:i/>
          <w:iCs/>
          <w:sz w:val="18"/>
          <w:szCs w:val="18"/>
          <w:lang w:val="en-US" w:eastAsia="zh-CN"/>
        </w:rPr>
        <w:t>nergy</w:t>
      </w:r>
      <w:r>
        <w:rPr>
          <w:rFonts w:hint="default" w:ascii="Times New Roman" w:hAnsi="Times New Roman" w:eastAsia="宋体" w:cs="Times New Roman"/>
          <w:b w:val="0"/>
          <w:bCs w:val="0"/>
          <w:sz w:val="18"/>
          <w:szCs w:val="18"/>
          <w:lang w:val="en-US" w:eastAsia="zh-CN"/>
        </w:rPr>
        <w:t>, 34(6), 1567-1578.</w:t>
      </w:r>
      <w:r>
        <w:rPr>
          <w:rFonts w:hint="eastAsia" w:ascii="Times New Roman" w:hAnsi="Times New Roman" w:eastAsia="宋体" w:cs="Times New Roman"/>
          <w:b w:val="0"/>
          <w:bCs w:val="0"/>
          <w:sz w:val="18"/>
          <w:szCs w:val="18"/>
          <w:lang w:val="en-US" w:eastAsia="zh-CN"/>
        </w:rPr>
        <w:t xml:space="preserve"> </w:t>
      </w:r>
      <w:r>
        <w:rPr>
          <w:rFonts w:hint="eastAsia" w:ascii="Times New Roman" w:hAnsi="Times New Roman" w:eastAsia="宋体" w:cs="Times New Roman"/>
          <w:b w:val="0"/>
          <w:bCs w:val="0"/>
          <w:sz w:val="18"/>
          <w:szCs w:val="18"/>
          <w:lang w:val="en-US" w:eastAsia="zh-CN"/>
        </w:rPr>
        <w:fldChar w:fldCharType="begin"/>
      </w:r>
      <w:r>
        <w:rPr>
          <w:rFonts w:hint="eastAsia" w:ascii="Times New Roman" w:hAnsi="Times New Roman" w:eastAsia="宋体" w:cs="Times New Roman"/>
          <w:b w:val="0"/>
          <w:bCs w:val="0"/>
          <w:sz w:val="18"/>
          <w:szCs w:val="18"/>
          <w:lang w:val="en-US" w:eastAsia="zh-CN"/>
        </w:rPr>
        <w:instrText xml:space="preserve"> HYPERLINK "https://doi.org/10.1016/j.renene.2008.11.015" </w:instrText>
      </w:r>
      <w:r>
        <w:rPr>
          <w:rFonts w:hint="eastAsia" w:ascii="Times New Roman" w:hAnsi="Times New Roman" w:eastAsia="宋体" w:cs="Times New Roman"/>
          <w:b w:val="0"/>
          <w:bCs w:val="0"/>
          <w:sz w:val="18"/>
          <w:szCs w:val="18"/>
          <w:lang w:val="en-US" w:eastAsia="zh-CN"/>
        </w:rPr>
        <w:fldChar w:fldCharType="separate"/>
      </w:r>
      <w:r>
        <w:rPr>
          <w:rStyle w:val="8"/>
          <w:rFonts w:hint="eastAsia" w:ascii="Times New Roman" w:hAnsi="Times New Roman" w:eastAsia="宋体" w:cs="Times New Roman"/>
          <w:b w:val="0"/>
          <w:bCs w:val="0"/>
          <w:sz w:val="18"/>
          <w:szCs w:val="18"/>
          <w:lang w:val="en-US" w:eastAsia="zh-CN"/>
        </w:rPr>
        <w:t>https://doi.org/10.1016/j.renene.2008.11.015</w:t>
      </w:r>
      <w:r>
        <w:rPr>
          <w:rFonts w:hint="eastAsia" w:ascii="Times New Roman" w:hAnsi="Times New Roman" w:eastAsia="宋体" w:cs="Times New Roman"/>
          <w:b w:val="0"/>
          <w:bCs w:val="0"/>
          <w:sz w:val="18"/>
          <w:szCs w:val="18"/>
          <w:lang w:val="en-US" w:eastAsia="zh-CN"/>
        </w:rPr>
        <w:fldChar w:fldCharType="end"/>
      </w: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eastAsia"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 xml:space="preserve">Tseng, P., Lee, J., &amp; Friley, P. (2005). A hydrogen economy: opportunities and challenges. </w:t>
      </w:r>
      <w:r>
        <w:rPr>
          <w:rFonts w:hint="default" w:ascii="Times New Roman" w:hAnsi="Times New Roman" w:eastAsia="宋体" w:cs="Times New Roman"/>
          <w:b w:val="0"/>
          <w:bCs w:val="0"/>
          <w:i/>
          <w:iCs/>
          <w:sz w:val="18"/>
          <w:szCs w:val="18"/>
          <w:lang w:val="en-US" w:eastAsia="zh-CN"/>
        </w:rPr>
        <w:t>Energy</w:t>
      </w:r>
      <w:r>
        <w:rPr>
          <w:rFonts w:hint="default" w:ascii="Times New Roman" w:hAnsi="Times New Roman" w:eastAsia="宋体" w:cs="Times New Roman"/>
          <w:b w:val="0"/>
          <w:bCs w:val="0"/>
          <w:sz w:val="18"/>
          <w:szCs w:val="18"/>
          <w:lang w:val="en-US" w:eastAsia="zh-CN"/>
        </w:rPr>
        <w:t>, 30(14), 2703-2720.</w:t>
      </w:r>
      <w:r>
        <w:rPr>
          <w:rFonts w:hint="eastAsia" w:ascii="Times New Roman" w:hAnsi="Times New Roman" w:eastAsia="宋体" w:cs="Times New Roman"/>
          <w:b w:val="0"/>
          <w:bCs w:val="0"/>
          <w:sz w:val="18"/>
          <w:szCs w:val="18"/>
          <w:lang w:val="en-US" w:eastAsia="zh-CN"/>
        </w:rPr>
        <w:t xml:space="preserve"> </w:t>
      </w:r>
      <w:r>
        <w:rPr>
          <w:rFonts w:hint="eastAsia" w:ascii="Times New Roman" w:hAnsi="Times New Roman" w:eastAsia="宋体" w:cs="Times New Roman"/>
          <w:b w:val="0"/>
          <w:bCs w:val="0"/>
          <w:sz w:val="18"/>
          <w:szCs w:val="18"/>
          <w:lang w:val="en-US" w:eastAsia="zh-CN"/>
        </w:rPr>
        <w:fldChar w:fldCharType="begin"/>
      </w:r>
      <w:r>
        <w:rPr>
          <w:rFonts w:hint="eastAsia" w:ascii="Times New Roman" w:hAnsi="Times New Roman" w:eastAsia="宋体" w:cs="Times New Roman"/>
          <w:b w:val="0"/>
          <w:bCs w:val="0"/>
          <w:sz w:val="18"/>
          <w:szCs w:val="18"/>
          <w:lang w:val="en-US" w:eastAsia="zh-CN"/>
        </w:rPr>
        <w:instrText xml:space="preserve"> HYPERLINK "https://doi.org/10.1016/j.energy.2004.07.015" </w:instrText>
      </w:r>
      <w:r>
        <w:rPr>
          <w:rFonts w:hint="eastAsia" w:ascii="Times New Roman" w:hAnsi="Times New Roman" w:eastAsia="宋体" w:cs="Times New Roman"/>
          <w:b w:val="0"/>
          <w:bCs w:val="0"/>
          <w:sz w:val="18"/>
          <w:szCs w:val="18"/>
          <w:lang w:val="en-US" w:eastAsia="zh-CN"/>
        </w:rPr>
        <w:fldChar w:fldCharType="separate"/>
      </w:r>
      <w:r>
        <w:rPr>
          <w:rStyle w:val="8"/>
          <w:rFonts w:hint="eastAsia" w:ascii="Times New Roman" w:hAnsi="Times New Roman" w:eastAsia="宋体" w:cs="Times New Roman"/>
          <w:b w:val="0"/>
          <w:bCs w:val="0"/>
          <w:sz w:val="18"/>
          <w:szCs w:val="18"/>
          <w:lang w:val="en-US" w:eastAsia="zh-CN"/>
        </w:rPr>
        <w:t>https://doi.org/10.1016/j.energy.2004.07.015</w:t>
      </w:r>
      <w:r>
        <w:rPr>
          <w:rFonts w:hint="eastAsia" w:ascii="Times New Roman" w:hAnsi="Times New Roman" w:eastAsia="宋体" w:cs="Times New Roman"/>
          <w:b w:val="0"/>
          <w:bCs w:val="0"/>
          <w:sz w:val="18"/>
          <w:szCs w:val="18"/>
          <w:lang w:val="en-US" w:eastAsia="zh-CN"/>
        </w:rPr>
        <w:fldChar w:fldCharType="end"/>
      </w: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eastAsia"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 xml:space="preserve">Xiang, Y., Cai, H., Gu, C., &amp; Shen, X. (2020). Cost-benefit analysis of integrated energy system planning considering demand response. </w:t>
      </w:r>
      <w:r>
        <w:rPr>
          <w:rFonts w:hint="default" w:ascii="Times New Roman" w:hAnsi="Times New Roman" w:eastAsia="宋体" w:cs="Times New Roman"/>
          <w:b w:val="0"/>
          <w:bCs w:val="0"/>
          <w:i/>
          <w:iCs/>
          <w:sz w:val="18"/>
          <w:szCs w:val="18"/>
          <w:lang w:val="en-US" w:eastAsia="zh-CN"/>
        </w:rPr>
        <w:t>Energy</w:t>
      </w:r>
      <w:r>
        <w:rPr>
          <w:rFonts w:hint="default" w:ascii="Times New Roman" w:hAnsi="Times New Roman" w:eastAsia="宋体" w:cs="Times New Roman"/>
          <w:b w:val="0"/>
          <w:bCs w:val="0"/>
          <w:sz w:val="18"/>
          <w:szCs w:val="18"/>
          <w:lang w:val="en-US" w:eastAsia="zh-CN"/>
        </w:rPr>
        <w:t>, 192, 116632.</w:t>
      </w:r>
      <w:r>
        <w:rPr>
          <w:rFonts w:hint="eastAsia" w:ascii="Times New Roman" w:hAnsi="Times New Roman" w:eastAsia="宋体" w:cs="Times New Roman"/>
          <w:b w:val="0"/>
          <w:bCs w:val="0"/>
          <w:sz w:val="18"/>
          <w:szCs w:val="18"/>
          <w:lang w:val="en-US" w:eastAsia="zh-CN"/>
        </w:rPr>
        <w:t xml:space="preserve"> </w:t>
      </w:r>
      <w:r>
        <w:rPr>
          <w:rFonts w:hint="eastAsia" w:ascii="Times New Roman" w:hAnsi="Times New Roman" w:eastAsia="宋体" w:cs="Times New Roman"/>
          <w:b w:val="0"/>
          <w:bCs w:val="0"/>
          <w:sz w:val="18"/>
          <w:szCs w:val="18"/>
          <w:lang w:val="en-US" w:eastAsia="zh-CN"/>
        </w:rPr>
        <w:fldChar w:fldCharType="begin"/>
      </w:r>
      <w:r>
        <w:rPr>
          <w:rFonts w:hint="eastAsia" w:ascii="Times New Roman" w:hAnsi="Times New Roman" w:eastAsia="宋体" w:cs="Times New Roman"/>
          <w:b w:val="0"/>
          <w:bCs w:val="0"/>
          <w:sz w:val="18"/>
          <w:szCs w:val="18"/>
          <w:lang w:val="en-US" w:eastAsia="zh-CN"/>
        </w:rPr>
        <w:instrText xml:space="preserve"> HYPERLINK "https://doi.org/10.1016/j.energy.2019.116632" </w:instrText>
      </w:r>
      <w:r>
        <w:rPr>
          <w:rFonts w:hint="eastAsia" w:ascii="Times New Roman" w:hAnsi="Times New Roman" w:eastAsia="宋体" w:cs="Times New Roman"/>
          <w:b w:val="0"/>
          <w:bCs w:val="0"/>
          <w:sz w:val="18"/>
          <w:szCs w:val="18"/>
          <w:lang w:val="en-US" w:eastAsia="zh-CN"/>
        </w:rPr>
        <w:fldChar w:fldCharType="separate"/>
      </w:r>
      <w:r>
        <w:rPr>
          <w:rStyle w:val="8"/>
          <w:rFonts w:hint="eastAsia" w:ascii="Times New Roman" w:hAnsi="Times New Roman" w:eastAsia="宋体" w:cs="Times New Roman"/>
          <w:b w:val="0"/>
          <w:bCs w:val="0"/>
          <w:sz w:val="18"/>
          <w:szCs w:val="18"/>
          <w:lang w:val="en-US" w:eastAsia="zh-CN"/>
        </w:rPr>
        <w:t>https://doi.org/10.1016/j.energy.2019.116632</w:t>
      </w:r>
      <w:r>
        <w:rPr>
          <w:rFonts w:hint="eastAsia" w:ascii="Times New Roman" w:hAnsi="Times New Roman" w:eastAsia="宋体" w:cs="Times New Roman"/>
          <w:b w:val="0"/>
          <w:bCs w:val="0"/>
          <w:sz w:val="18"/>
          <w:szCs w:val="18"/>
          <w:lang w:val="en-US" w:eastAsia="zh-CN"/>
        </w:rPr>
        <w:fldChar w:fldCharType="end"/>
      </w: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eastAsia"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 xml:space="preserve">Kannah, R. Y., Kavitha, S., Karthikeyan, O. P., Kumar, G., Dai-Viet, N. V., &amp; Banu, J. R. (2021). Techno-economic assessment of various hydrogen production methods–A review. </w:t>
      </w:r>
      <w:r>
        <w:rPr>
          <w:rFonts w:hint="default" w:ascii="Times New Roman" w:hAnsi="Times New Roman" w:eastAsia="宋体" w:cs="Times New Roman"/>
          <w:b w:val="0"/>
          <w:bCs w:val="0"/>
          <w:i/>
          <w:iCs/>
          <w:sz w:val="18"/>
          <w:szCs w:val="18"/>
          <w:lang w:val="en-US" w:eastAsia="zh-CN"/>
        </w:rPr>
        <w:t xml:space="preserve">Bioresource </w:t>
      </w:r>
      <w:r>
        <w:rPr>
          <w:rFonts w:hint="eastAsia" w:ascii="Times New Roman" w:hAnsi="Times New Roman" w:eastAsia="宋体" w:cs="Times New Roman"/>
          <w:b w:val="0"/>
          <w:bCs w:val="0"/>
          <w:i/>
          <w:iCs/>
          <w:sz w:val="18"/>
          <w:szCs w:val="18"/>
          <w:lang w:val="en-US" w:eastAsia="zh-CN"/>
        </w:rPr>
        <w:t>T</w:t>
      </w:r>
      <w:r>
        <w:rPr>
          <w:rFonts w:hint="default" w:ascii="Times New Roman" w:hAnsi="Times New Roman" w:eastAsia="宋体" w:cs="Times New Roman"/>
          <w:b w:val="0"/>
          <w:bCs w:val="0"/>
          <w:i/>
          <w:iCs/>
          <w:sz w:val="18"/>
          <w:szCs w:val="18"/>
          <w:lang w:val="en-US" w:eastAsia="zh-CN"/>
        </w:rPr>
        <w:t>echnology</w:t>
      </w:r>
      <w:r>
        <w:rPr>
          <w:rFonts w:hint="default" w:ascii="Times New Roman" w:hAnsi="Times New Roman" w:eastAsia="宋体" w:cs="Times New Roman"/>
          <w:b w:val="0"/>
          <w:bCs w:val="0"/>
          <w:sz w:val="18"/>
          <w:szCs w:val="18"/>
          <w:lang w:val="en-US" w:eastAsia="zh-CN"/>
        </w:rPr>
        <w:t>, 319, 124175.</w:t>
      </w:r>
      <w:r>
        <w:rPr>
          <w:rFonts w:hint="eastAsia" w:ascii="Times New Roman" w:hAnsi="Times New Roman" w:eastAsia="宋体" w:cs="Times New Roman"/>
          <w:b w:val="0"/>
          <w:bCs w:val="0"/>
          <w:sz w:val="18"/>
          <w:szCs w:val="18"/>
          <w:lang w:val="en-US" w:eastAsia="zh-CN"/>
        </w:rPr>
        <w:t xml:space="preserve"> </w:t>
      </w:r>
      <w:r>
        <w:rPr>
          <w:rFonts w:hint="eastAsia" w:ascii="Times New Roman" w:hAnsi="Times New Roman" w:eastAsia="宋体" w:cs="Times New Roman"/>
          <w:b w:val="0"/>
          <w:bCs w:val="0"/>
          <w:sz w:val="18"/>
          <w:szCs w:val="18"/>
          <w:lang w:val="en-US" w:eastAsia="zh-CN"/>
        </w:rPr>
        <w:fldChar w:fldCharType="begin"/>
      </w:r>
      <w:r>
        <w:rPr>
          <w:rFonts w:hint="eastAsia" w:ascii="Times New Roman" w:hAnsi="Times New Roman" w:eastAsia="宋体" w:cs="Times New Roman"/>
          <w:b w:val="0"/>
          <w:bCs w:val="0"/>
          <w:sz w:val="18"/>
          <w:szCs w:val="18"/>
          <w:lang w:val="en-US" w:eastAsia="zh-CN"/>
        </w:rPr>
        <w:instrText xml:space="preserve"> HYPERLINK "https://doi.org/10.1016/j.biortech.2020.124175" </w:instrText>
      </w:r>
      <w:r>
        <w:rPr>
          <w:rFonts w:hint="eastAsia" w:ascii="Times New Roman" w:hAnsi="Times New Roman" w:eastAsia="宋体" w:cs="Times New Roman"/>
          <w:b w:val="0"/>
          <w:bCs w:val="0"/>
          <w:sz w:val="18"/>
          <w:szCs w:val="18"/>
          <w:lang w:val="en-US" w:eastAsia="zh-CN"/>
        </w:rPr>
        <w:fldChar w:fldCharType="separate"/>
      </w:r>
      <w:r>
        <w:rPr>
          <w:rStyle w:val="8"/>
          <w:rFonts w:hint="eastAsia" w:ascii="Times New Roman" w:hAnsi="Times New Roman" w:eastAsia="宋体" w:cs="Times New Roman"/>
          <w:b w:val="0"/>
          <w:bCs w:val="0"/>
          <w:sz w:val="18"/>
          <w:szCs w:val="18"/>
          <w:lang w:val="en-US" w:eastAsia="zh-CN"/>
        </w:rPr>
        <w:t>https://doi.org/10.1016/j.biortech.2020.124175</w:t>
      </w:r>
      <w:r>
        <w:rPr>
          <w:rFonts w:hint="eastAsia" w:ascii="Times New Roman" w:hAnsi="Times New Roman" w:eastAsia="宋体" w:cs="Times New Roman"/>
          <w:b w:val="0"/>
          <w:bCs w:val="0"/>
          <w:sz w:val="18"/>
          <w:szCs w:val="18"/>
          <w:lang w:val="en-US" w:eastAsia="zh-CN"/>
        </w:rPr>
        <w:fldChar w:fldCharType="end"/>
      </w: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eastAsia="宋体" w:cs="Times New Roman"/>
          <w:b w:val="0"/>
          <w:bCs w:val="0"/>
          <w:sz w:val="18"/>
          <w:szCs w:val="18"/>
          <w:lang w:val="en-US" w:eastAsia="zh-CN"/>
        </w:rPr>
      </w:pPr>
    </w:p>
    <w:p>
      <w:pPr>
        <w:keepNext w:val="0"/>
        <w:keepLines w:val="0"/>
        <w:pageBreakBefore w:val="0"/>
        <w:widowControl/>
        <w:kinsoku/>
        <w:wordWrap/>
        <w:overflowPunct/>
        <w:topLinePunct w:val="0"/>
        <w:bidi w:val="0"/>
        <w:adjustRightInd/>
        <w:snapToGrid/>
        <w:spacing w:line="240" w:lineRule="auto"/>
        <w:ind w:right="521"/>
        <w:jc w:val="both"/>
        <w:textAlignment w:val="auto"/>
        <w:rPr>
          <w:rFonts w:hint="default" w:ascii="Times New Roman" w:hAnsi="Times New Roman" w:cs="Times New Roman"/>
          <w:b/>
          <w:bCs/>
          <w:sz w:val="18"/>
          <w:szCs w:val="18"/>
        </w:rPr>
      </w:pP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i/>
          <w:iCs/>
          <w:sz w:val="18"/>
          <w:szCs w:val="18"/>
        </w:rPr>
      </w:pPr>
    </w:p>
    <w:p>
      <w:pPr>
        <w:keepNext w:val="0"/>
        <w:keepLines w:val="0"/>
        <w:pageBreakBefore w:val="0"/>
        <w:widowControl/>
        <w:kinsoku/>
        <w:wordWrap/>
        <w:overflowPunct/>
        <w:topLinePunct w:val="0"/>
        <w:bidi w:val="0"/>
        <w:adjustRightInd/>
        <w:snapToGrid/>
        <w:spacing w:line="240" w:lineRule="auto"/>
        <w:ind w:left="567" w:right="521"/>
        <w:jc w:val="both"/>
        <w:textAlignment w:val="auto"/>
        <w:rPr>
          <w:rFonts w:hint="default" w:ascii="Times New Roman" w:hAnsi="Times New Roman" w:cs="Times New Roman"/>
          <w:color w:val="FF0000"/>
          <w:sz w:val="18"/>
          <w:szCs w:val="18"/>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F4EA7"/>
    <w:multiLevelType w:val="multilevel"/>
    <w:tmpl w:val="56EF4EA7"/>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wMmMyY2RjNGI1YTU5ZmE5NmY5YWZkMjcyNTFjNGMifQ=="/>
  </w:docVars>
  <w:rsids>
    <w:rsidRoot w:val="00146654"/>
    <w:rsid w:val="00146654"/>
    <w:rsid w:val="0024663B"/>
    <w:rsid w:val="00292579"/>
    <w:rsid w:val="003657B0"/>
    <w:rsid w:val="00490444"/>
    <w:rsid w:val="004C7DCB"/>
    <w:rsid w:val="005049FA"/>
    <w:rsid w:val="00540E8E"/>
    <w:rsid w:val="005E39B0"/>
    <w:rsid w:val="00782D96"/>
    <w:rsid w:val="0081301D"/>
    <w:rsid w:val="008F5315"/>
    <w:rsid w:val="009C594B"/>
    <w:rsid w:val="00B142F4"/>
    <w:rsid w:val="00CD7E7F"/>
    <w:rsid w:val="00DC075F"/>
    <w:rsid w:val="00E5779E"/>
    <w:rsid w:val="00EC5CE1"/>
    <w:rsid w:val="00F32FC3"/>
    <w:rsid w:val="00F5350B"/>
    <w:rsid w:val="1A816980"/>
    <w:rsid w:val="3AD97126"/>
    <w:rsid w:val="5C7E26C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character" w:default="1" w:styleId="6">
    <w:name w:val="Default Paragraph Font"/>
    <w:autoRedefine/>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4"/>
    <w:autoRedefine/>
    <w:unhideWhenUsed/>
    <w:uiPriority w:val="99"/>
    <w:pPr>
      <w:tabs>
        <w:tab w:val="center" w:pos="4513"/>
        <w:tab w:val="right" w:pos="9026"/>
      </w:tabs>
      <w:spacing w:after="0" w:line="240" w:lineRule="auto"/>
    </w:pPr>
  </w:style>
  <w:style w:type="paragraph" w:styleId="3">
    <w:name w:val="header"/>
    <w:basedOn w:val="1"/>
    <w:link w:val="13"/>
    <w:autoRedefine/>
    <w:unhideWhenUsed/>
    <w:qFormat/>
    <w:uiPriority w:val="99"/>
    <w:pPr>
      <w:tabs>
        <w:tab w:val="center" w:pos="4513"/>
        <w:tab w:val="right" w:pos="9026"/>
      </w:tabs>
      <w:spacing w:after="0" w:line="240" w:lineRule="auto"/>
    </w:pPr>
  </w:style>
  <w:style w:type="table" w:styleId="5">
    <w:name w:val="Table Grid"/>
    <w:basedOn w:val="4"/>
    <w:autoRedefine/>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line number"/>
    <w:basedOn w:val="6"/>
    <w:autoRedefine/>
    <w:semiHidden/>
    <w:unhideWhenUsed/>
    <w:qFormat/>
    <w:uiPriority w:val="99"/>
  </w:style>
  <w:style w:type="character" w:styleId="8">
    <w:name w:val="Hyperlink"/>
    <w:basedOn w:val="6"/>
    <w:autoRedefine/>
    <w:unhideWhenUsed/>
    <w:qFormat/>
    <w:uiPriority w:val="99"/>
    <w:rPr>
      <w:color w:val="0563C1" w:themeColor="hyperlink"/>
      <w:u w:val="single"/>
      <w14:textFill>
        <w14:solidFill>
          <w14:schemeClr w14:val="hlink"/>
        </w14:solidFill>
      </w14:textFill>
    </w:rPr>
  </w:style>
  <w:style w:type="paragraph" w:styleId="9">
    <w:name w:val="List Paragraph"/>
    <w:basedOn w:val="1"/>
    <w:autoRedefine/>
    <w:qFormat/>
    <w:uiPriority w:val="34"/>
    <w:pPr>
      <w:ind w:left="720"/>
      <w:contextualSpacing/>
    </w:pPr>
  </w:style>
  <w:style w:type="character" w:customStyle="1" w:styleId="10">
    <w:name w:val="Unresolved Mention"/>
    <w:basedOn w:val="6"/>
    <w:semiHidden/>
    <w:unhideWhenUsed/>
    <w:qFormat/>
    <w:uiPriority w:val="99"/>
    <w:rPr>
      <w:color w:val="605E5C"/>
      <w:shd w:val="clear" w:color="auto" w:fill="E1DFDD"/>
    </w:rPr>
  </w:style>
  <w:style w:type="character" w:styleId="11">
    <w:name w:val="Placeholder Text"/>
    <w:basedOn w:val="6"/>
    <w:autoRedefine/>
    <w:semiHidden/>
    <w:qFormat/>
    <w:uiPriority w:val="99"/>
    <w:rPr>
      <w:color w:val="808080"/>
    </w:rPr>
  </w:style>
  <w:style w:type="paragraph" w:customStyle="1" w:styleId="12">
    <w:name w:val="Revision"/>
    <w:autoRedefine/>
    <w:hidden/>
    <w:semiHidden/>
    <w:qFormat/>
    <w:uiPriority w:val="99"/>
    <w:pPr>
      <w:spacing w:after="0" w:line="240" w:lineRule="auto"/>
    </w:pPr>
    <w:rPr>
      <w:rFonts w:asciiTheme="minorHAnsi" w:hAnsiTheme="minorHAnsi" w:eastAsiaTheme="minorHAnsi" w:cstheme="minorBidi"/>
      <w:kern w:val="2"/>
      <w:sz w:val="22"/>
      <w:szCs w:val="22"/>
      <w:lang w:val="en-IN" w:eastAsia="en-US" w:bidi="ar-SA"/>
      <w14:ligatures w14:val="standardContextual"/>
    </w:rPr>
  </w:style>
  <w:style w:type="character" w:customStyle="1" w:styleId="13">
    <w:name w:val="Header Char"/>
    <w:basedOn w:val="6"/>
    <w:link w:val="3"/>
    <w:autoRedefine/>
    <w:qFormat/>
    <w:uiPriority w:val="99"/>
  </w:style>
  <w:style w:type="character" w:customStyle="1" w:styleId="14">
    <w:name w:val="Footer Char"/>
    <w:basedOn w:val="6"/>
    <w:link w:val="2"/>
    <w:autoRedefine/>
    <w:uiPriority w:val="99"/>
  </w:style>
  <w:style w:type="table" w:customStyle="1" w:styleId="15">
    <w:name w:val="Grid Table 4 Accent 4"/>
    <w:basedOn w:val="4"/>
    <w:autoRedefine/>
    <w:qFormat/>
    <w:uiPriority w:val="49"/>
    <w:pPr>
      <w:spacing w:after="0" w:line="240" w:lineRule="auto"/>
    </w:p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16">
    <w:name w:val="Grid Table 5 Dark Accent 2"/>
    <w:basedOn w:val="4"/>
    <w:autoRedefine/>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17">
    <w:name w:val="Grid Table 1 Light Accent 2"/>
    <w:basedOn w:val="4"/>
    <w:autoRedefine/>
    <w:qFormat/>
    <w:uiPriority w:val="46"/>
    <w:pPr>
      <w:spacing w:after="0" w:line="240" w:lineRule="auto"/>
    </w:pPr>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18">
    <w:name w:val="Grid Table 5 Dark Accent 4"/>
    <w:basedOn w:val="4"/>
    <w:autoRedefine/>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19">
    <w:name w:val="Grid Table 2 Accent 2"/>
    <w:basedOn w:val="4"/>
    <w:autoRedefine/>
    <w:qFormat/>
    <w:uiPriority w:val="47"/>
    <w:pPr>
      <w:spacing w:after="0" w:line="240" w:lineRule="auto"/>
    </w:pPr>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64477-0DF6-4878-BE53-F76BB43BB9CD}">
  <ds:schemaRefs/>
</ds:datastoreItem>
</file>

<file path=docProps/app.xml><?xml version="1.0" encoding="utf-8"?>
<Properties xmlns="http://schemas.openxmlformats.org/officeDocument/2006/extended-properties" xmlns:vt="http://schemas.openxmlformats.org/officeDocument/2006/docPropsVTypes">
  <Template>Normal</Template>
  <Pages>6</Pages>
  <Words>736</Words>
  <Characters>5464</Characters>
  <Lines>143</Lines>
  <Paragraphs>40</Paragraphs>
  <TotalTime>6</TotalTime>
  <ScaleCrop>false</ScaleCrop>
  <LinksUpToDate>false</LinksUpToDate>
  <CharactersWithSpaces>6160</CharactersWithSpaces>
  <Application>WPS Office_12.1.0.16388_F1E327BC-269C-435d-A152-05C5408002CA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2024-01-28T19:54:00Z</dcterms:created>
  <dc:creator>harshit mittal;"Dr Omkar Kushwaha" &lt;kushwaha.iitmadras@gmail.com&gt;</dc:creator>
  <cp:lastModifiedBy>BVP</cp:lastModifiedBy>
  <dcterms:modified xsi:type="dcterms:W3CDTF">2024-03-11T07:54:59Z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623be01f3ff5a2be894e7920602f17a3cdaf8c53aad8487505b8e679a4014f12</vt:lpwstr>
  </property>
  <property fmtid="{D5CDD505-2E9C-101B-9397-08002B2CF9AE}" pid="3" name="KSOProductBuildVer">
    <vt:lpwstr>2052-12.1.0.16388</vt:lpwstr>
  </property>
  <property fmtid="{D5CDD505-2E9C-101B-9397-08002B2CF9AE}" pid="4" name="ICV">
    <vt:lpwstr>2E659435CDA742468B75AFD36F28F997_13</vt:lpwstr>
  </property>
</Properties>
</file>