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EB398">
      <w:pPr>
        <w:spacing w:after="0" w:line="240" w:lineRule="auto"/>
        <w:rPr>
          <w:rFonts w:ascii="Times New Roman" w:hAnsi="Times New Roman" w:cs="Times New Roman"/>
          <w:b/>
          <w:bCs/>
          <w:color w:val="auto"/>
          <w:sz w:val="22"/>
          <w:szCs w:val="28"/>
          <w:highlight w:val="none"/>
          <w:lang w:eastAsia="zh-CN"/>
        </w:rPr>
      </w:pPr>
    </w:p>
    <w:p w14:paraId="14B32F28">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S1. Historical review record and prospective replication protocol</w:t>
      </w:r>
    </w:p>
    <w:p w14:paraId="0C2DECC8">
      <w:pPr>
        <w:spacing w:after="0" w:line="240" w:lineRule="auto"/>
        <w:rPr>
          <w:rFonts w:ascii="Times New Roman" w:hAnsi="Times New Roman" w:cs="Times New Roman"/>
          <w:color w:val="auto"/>
          <w:szCs w:val="18"/>
          <w:highlight w:val="none"/>
        </w:rPr>
      </w:pPr>
    </w:p>
    <w:p w14:paraId="1421D704">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S1.1</w:t>
      </w:r>
      <w:r>
        <w:rPr>
          <w:rFonts w:hint="eastAsia" w:ascii="Times New Roman" w:hAnsi="Times New Roman" w:cs="Times New Roman"/>
          <w:b/>
          <w:bCs/>
          <w:color w:val="auto"/>
          <w:sz w:val="22"/>
          <w:szCs w:val="28"/>
          <w:highlight w:val="none"/>
          <w:lang w:eastAsia="zh-CN"/>
        </w:rPr>
        <w:t>.</w:t>
      </w:r>
      <w:r>
        <w:rPr>
          <w:rFonts w:ascii="Times New Roman" w:hAnsi="Times New Roman" w:cs="Times New Roman"/>
          <w:b/>
          <w:bCs/>
          <w:color w:val="auto"/>
          <w:sz w:val="22"/>
          <w:szCs w:val="28"/>
          <w:highlight w:val="none"/>
          <w:lang w:eastAsia="zh-CN"/>
        </w:rPr>
        <w:t xml:space="preserve"> Historical corpus record</w:t>
      </w:r>
    </w:p>
    <w:p w14:paraId="364E1404">
      <w:pPr>
        <w:spacing w:after="0" w:line="240" w:lineRule="auto"/>
        <w:rPr>
          <w:rFonts w:ascii="Times New Roman" w:hAnsi="Times New Roman" w:cs="Times New Roman"/>
          <w:color w:val="auto"/>
          <w:szCs w:val="18"/>
          <w:highlight w:val="none"/>
        </w:rPr>
      </w:pPr>
    </w:p>
    <w:p w14:paraId="3924C7A1">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 xml:space="preserve">The retained project log records the database roles, core search concept, publication window, thematic search families, and aggregate flow from 450 candidate records to 67 included studies. It does not preserve day-level search dates, source-specific yields, query-level exports, the </w:t>
      </w:r>
      <w:r>
        <w:rPr>
          <w:rFonts w:hint="eastAsia" w:ascii="Times New Roman" w:hAnsi="Times New Roman" w:eastAsia="宋体" w:cs="Times New Roman"/>
          <w:color w:val="auto"/>
          <w:szCs w:val="18"/>
          <w:highlight w:val="none"/>
          <w:lang w:eastAsia="zh-CN"/>
        </w:rPr>
        <w:t>WoS</w:t>
      </w:r>
      <w:r>
        <w:rPr>
          <w:rFonts w:ascii="Times New Roman" w:hAnsi="Times New Roman" w:cs="Times New Roman"/>
          <w:color w:val="auto"/>
          <w:szCs w:val="18"/>
          <w:highlight w:val="none"/>
        </w:rPr>
        <w:t xml:space="preserve"> index and field settings used in each iterative round, or coder-by-coder screening decisions. The counts in manuscript Figure 3 describe this historical process. Exact reconstruction of the original retrieval set is not supported by the retained records.</w:t>
      </w:r>
    </w:p>
    <w:p w14:paraId="6AB9C8A0">
      <w:pPr>
        <w:spacing w:after="0" w:line="240" w:lineRule="auto"/>
        <w:rPr>
          <w:rFonts w:ascii="Times New Roman" w:hAnsi="Times New Roman" w:cs="Times New Roman"/>
          <w:color w:val="auto"/>
          <w:szCs w:val="18"/>
          <w:highlight w:val="none"/>
        </w:rPr>
      </w:pPr>
    </w:p>
    <w:p w14:paraId="5F49D675">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S1.2</w:t>
      </w:r>
      <w:r>
        <w:rPr>
          <w:rFonts w:hint="eastAsia" w:ascii="Times New Roman" w:hAnsi="Times New Roman" w:cs="Times New Roman"/>
          <w:b/>
          <w:bCs/>
          <w:color w:val="auto"/>
          <w:sz w:val="22"/>
          <w:szCs w:val="28"/>
          <w:highlight w:val="none"/>
          <w:lang w:eastAsia="zh-CN"/>
        </w:rPr>
        <w:t>.</w:t>
      </w:r>
      <w:r>
        <w:rPr>
          <w:rFonts w:ascii="Times New Roman" w:hAnsi="Times New Roman" w:cs="Times New Roman"/>
          <w:b/>
          <w:bCs/>
          <w:color w:val="auto"/>
          <w:sz w:val="22"/>
          <w:szCs w:val="28"/>
          <w:highlight w:val="none"/>
          <w:lang w:eastAsia="zh-CN"/>
        </w:rPr>
        <w:t xml:space="preserve"> Prospective </w:t>
      </w:r>
      <w:r>
        <w:rPr>
          <w:rFonts w:hint="eastAsia" w:ascii="Times New Roman" w:hAnsi="Times New Roman" w:cs="Times New Roman"/>
          <w:b/>
          <w:bCs/>
          <w:color w:val="auto"/>
          <w:sz w:val="22"/>
          <w:szCs w:val="28"/>
          <w:highlight w:val="none"/>
          <w:lang w:eastAsia="zh-CN"/>
        </w:rPr>
        <w:t>WoS</w:t>
      </w:r>
      <w:r>
        <w:rPr>
          <w:rFonts w:ascii="Times New Roman" w:hAnsi="Times New Roman" w:cs="Times New Roman"/>
          <w:b/>
          <w:bCs/>
          <w:color w:val="auto"/>
          <w:sz w:val="22"/>
          <w:szCs w:val="28"/>
          <w:highlight w:val="none"/>
          <w:lang w:eastAsia="zh-CN"/>
        </w:rPr>
        <w:t xml:space="preserve"> replication</w:t>
      </w:r>
    </w:p>
    <w:p w14:paraId="16520223">
      <w:pPr>
        <w:spacing w:after="0" w:line="240" w:lineRule="auto"/>
        <w:rPr>
          <w:rFonts w:ascii="Times New Roman" w:hAnsi="Times New Roman" w:cs="Times New Roman"/>
          <w:color w:val="auto"/>
          <w:szCs w:val="18"/>
          <w:highlight w:val="none"/>
        </w:rPr>
      </w:pPr>
    </w:p>
    <w:p w14:paraId="530B4ADF">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 xml:space="preserve">The protocol below was formulated after the 67-study corpus had been assembled and did not generate the historical flow counts. A future replication should use the </w:t>
      </w:r>
      <w:r>
        <w:rPr>
          <w:rFonts w:hint="eastAsia" w:ascii="Times New Roman" w:hAnsi="Times New Roman" w:eastAsia="宋体" w:cs="Times New Roman"/>
          <w:color w:val="auto"/>
          <w:szCs w:val="18"/>
          <w:highlight w:val="none"/>
          <w:lang w:eastAsia="zh-CN"/>
        </w:rPr>
        <w:t>WoS</w:t>
      </w:r>
      <w:r>
        <w:rPr>
          <w:rFonts w:ascii="Times New Roman" w:hAnsi="Times New Roman" w:cs="Times New Roman"/>
          <w:color w:val="auto"/>
          <w:szCs w:val="18"/>
          <w:highlight w:val="none"/>
        </w:rPr>
        <w:t xml:space="preserve"> Core Collection, include SCI-EXPANDED, SSCI, ESCI, CPCI-S, and CPCI-SSH, search the Topic field, record the exact execution date and result count for every query, export full records and cited references, and retain a query-level search log. A new run may yield a different record set as database coverage and indexing change.</w:t>
      </w:r>
    </w:p>
    <w:p w14:paraId="656FBE89">
      <w:pPr>
        <w:spacing w:after="0" w:line="240" w:lineRule="auto"/>
        <w:jc w:val="center"/>
        <w:rPr>
          <w:rFonts w:hint="eastAsia"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Table S1</w:t>
      </w:r>
      <w:r>
        <w:rPr>
          <w:rFonts w:hint="eastAsia" w:ascii="Times New Roman" w:hAnsi="Times New Roman" w:eastAsia="宋体" w:cs="Times New Roman"/>
          <w:b/>
          <w:bCs/>
          <w:color w:val="auto"/>
          <w:szCs w:val="18"/>
          <w:highlight w:val="none"/>
          <w:lang w:eastAsia="zh-CN"/>
        </w:rPr>
        <w:t xml:space="preserve"> </w:t>
      </w:r>
    </w:p>
    <w:p w14:paraId="2C7BD038">
      <w:pPr>
        <w:spacing w:after="0" w:line="240" w:lineRule="auto"/>
        <w:jc w:val="center"/>
        <w:rPr>
          <w:rFonts w:hint="eastAsia"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Prospective WoS replication protocol</w:t>
      </w:r>
    </w:p>
    <w:p w14:paraId="6570D2D3">
      <w:pPr>
        <w:spacing w:after="0" w:line="240" w:lineRule="auto"/>
        <w:jc w:val="center"/>
        <w:rPr>
          <w:rFonts w:hint="eastAsia" w:ascii="Times New Roman" w:hAnsi="Times New Roman" w:eastAsia="宋体" w:cs="Times New Roman"/>
          <w:b/>
          <w:bCs/>
          <w:color w:val="auto"/>
          <w:szCs w:val="18"/>
          <w:highlight w:val="none"/>
          <w:lang w:eastAsia="zh-CN"/>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4"/>
        <w:gridCol w:w="7764"/>
      </w:tblGrid>
      <w:tr w14:paraId="4BDA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769" w:type="dxa"/>
            <w:vAlign w:val="center"/>
          </w:tcPr>
          <w:p w14:paraId="73442F9D">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Search family</w:t>
            </w:r>
          </w:p>
        </w:tc>
        <w:tc>
          <w:tcPr>
            <w:tcW w:w="7769" w:type="dxa"/>
            <w:vAlign w:val="center"/>
          </w:tcPr>
          <w:p w14:paraId="19E39BBD">
            <w:pPr>
              <w:spacing w:after="0" w:line="240" w:lineRule="auto"/>
              <w:jc w:val="center"/>
              <w:rPr>
                <w:rFonts w:ascii="Times New Roman" w:hAnsi="Times New Roman" w:cs="Times New Roman"/>
                <w:color w:val="auto"/>
                <w:szCs w:val="18"/>
                <w:highlight w:val="none"/>
              </w:rPr>
            </w:pPr>
            <w:r>
              <w:rPr>
                <w:rFonts w:ascii="Times New Roman" w:hAnsi="Times New Roman" w:cs="Times New Roman"/>
                <w:b w:val="0"/>
                <w:bCs/>
                <w:color w:val="auto"/>
                <w:szCs w:val="18"/>
                <w:highlight w:val="none"/>
              </w:rPr>
              <w:t>Prospective exact string</w:t>
            </w:r>
          </w:p>
        </w:tc>
      </w:tr>
      <w:tr w14:paraId="7C30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69" w:type="dxa"/>
            <w:vAlign w:val="center"/>
          </w:tcPr>
          <w:p w14:paraId="146DD575">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Baseline financial-LLM query</w:t>
            </w:r>
          </w:p>
        </w:tc>
        <w:tc>
          <w:tcPr>
            <w:tcW w:w="7769" w:type="dxa"/>
            <w:vAlign w:val="center"/>
          </w:tcPr>
          <w:p w14:paraId="54A294B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TS=(("large language model*" OR LLM* OR "foundation model*") AND (financ* OR bank* OR investment OR "capital market*"))</w:t>
            </w:r>
          </w:p>
        </w:tc>
      </w:tr>
      <w:tr w14:paraId="7205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69" w:type="dxa"/>
            <w:vAlign w:val="center"/>
          </w:tcPr>
          <w:p w14:paraId="7B6A9CF9">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Knowledge reliability and hallucination</w:t>
            </w:r>
          </w:p>
        </w:tc>
        <w:tc>
          <w:tcPr>
            <w:tcW w:w="7769" w:type="dxa"/>
            <w:vAlign w:val="center"/>
          </w:tcPr>
          <w:p w14:paraId="4414EE4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TS=(("large language model*" OR LLM* OR "foundation model*") AND (financ* OR bank* OR investment OR "capital market*") AND (hallucinat* OR factual* OR reliability OR uncertainty OR "retrieval-augmented generation" OR RAG))</w:t>
            </w:r>
          </w:p>
        </w:tc>
      </w:tr>
      <w:tr w14:paraId="736F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69" w:type="dxa"/>
            <w:vAlign w:val="center"/>
          </w:tcPr>
          <w:p w14:paraId="6322276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Multimodal reasoning</w:t>
            </w:r>
          </w:p>
        </w:tc>
        <w:tc>
          <w:tcPr>
            <w:tcW w:w="7769" w:type="dxa"/>
            <w:vAlign w:val="center"/>
          </w:tcPr>
          <w:p w14:paraId="304F760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TS=(("large language model*" OR LLM* OR "foundation model*") AND (financ* OR bank* OR investment OR "capital market*") AND (multimodal OR "multi-modal" OR table* OR chart* OR image* OR "time series"))</w:t>
            </w:r>
          </w:p>
        </w:tc>
      </w:tr>
      <w:tr w14:paraId="0BB8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69" w:type="dxa"/>
            <w:vAlign w:val="center"/>
          </w:tcPr>
          <w:p w14:paraId="08AF769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Explainability and governance</w:t>
            </w:r>
          </w:p>
        </w:tc>
        <w:tc>
          <w:tcPr>
            <w:tcW w:w="7769" w:type="dxa"/>
            <w:vAlign w:val="center"/>
          </w:tcPr>
          <w:p w14:paraId="4E64CA7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TS=(("large language model*" OR LLM* OR "foundation model*") AND (financ* OR bank* OR investment OR "capital market*") AND (explainab* OR XAI OR "trustworthy AI" OR govern* OR audit* OR accountab* OR compliance OR privacy OR fairness OR "high-risk"))</w:t>
            </w:r>
          </w:p>
        </w:tc>
      </w:tr>
    </w:tbl>
    <w:p w14:paraId="51DF9293">
      <w:pPr>
        <w:spacing w:after="0" w:line="240" w:lineRule="auto"/>
        <w:rPr>
          <w:rFonts w:ascii="Times New Roman" w:hAnsi="Times New Roman" w:cs="Times New Roman"/>
          <w:b/>
          <w:color w:val="auto"/>
          <w:szCs w:val="18"/>
          <w:highlight w:val="none"/>
        </w:rPr>
      </w:pPr>
    </w:p>
    <w:p w14:paraId="7D5D5F09">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S1.3</w:t>
      </w:r>
      <w:r>
        <w:rPr>
          <w:rFonts w:hint="eastAsia" w:ascii="Times New Roman" w:hAnsi="Times New Roman" w:cs="Times New Roman"/>
          <w:b/>
          <w:bCs/>
          <w:color w:val="auto"/>
          <w:sz w:val="22"/>
          <w:szCs w:val="28"/>
          <w:highlight w:val="none"/>
          <w:lang w:eastAsia="zh-CN"/>
        </w:rPr>
        <w:t>.</w:t>
      </w:r>
      <w:r>
        <w:rPr>
          <w:rFonts w:ascii="Times New Roman" w:hAnsi="Times New Roman" w:cs="Times New Roman"/>
          <w:b/>
          <w:bCs/>
          <w:color w:val="auto"/>
          <w:sz w:val="22"/>
          <w:szCs w:val="28"/>
          <w:highlight w:val="none"/>
          <w:lang w:eastAsia="zh-CN"/>
        </w:rPr>
        <w:t xml:space="preserve"> Supplementary-source searches</w:t>
      </w:r>
    </w:p>
    <w:p w14:paraId="40322118">
      <w:pPr>
        <w:spacing w:after="0" w:line="240" w:lineRule="auto"/>
        <w:ind w:firstLine="360" w:firstLineChars="200"/>
        <w:rPr>
          <w:rFonts w:ascii="Times New Roman" w:hAnsi="Times New Roman" w:cs="Times New Roman"/>
          <w:color w:val="auto"/>
          <w:szCs w:val="18"/>
          <w:highlight w:val="none"/>
        </w:rPr>
      </w:pPr>
    </w:p>
    <w:p w14:paraId="46A38627">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Run equivalent title/abstract/keyword searches in arXiv. In Google Scholar, screen the first 100 relevance-ranked results for each thematic query, record the search date and query, and conduct backward and forward citation chaining from included studies and representative model papers. Deduplicate by DOI, arXiv identifier, title, and author-year combination. These procedures form part of the prospective protocol and are not presented as reconstructed steps of the historical search.</w:t>
      </w:r>
    </w:p>
    <w:p w14:paraId="3537A30A">
      <w:pPr>
        <w:spacing w:after="0" w:line="240" w:lineRule="auto"/>
        <w:rPr>
          <w:rFonts w:ascii="Times New Roman" w:hAnsi="Times New Roman" w:cs="Times New Roman"/>
          <w:b/>
          <w:bCs/>
          <w:color w:val="auto"/>
          <w:sz w:val="22"/>
          <w:szCs w:val="28"/>
          <w:highlight w:val="none"/>
          <w:lang w:eastAsia="zh-CN"/>
        </w:rPr>
      </w:pPr>
    </w:p>
    <w:p w14:paraId="5B7FE773">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S1.4</w:t>
      </w:r>
      <w:r>
        <w:rPr>
          <w:rFonts w:hint="eastAsia" w:ascii="Times New Roman" w:hAnsi="Times New Roman" w:cs="Times New Roman"/>
          <w:b/>
          <w:bCs/>
          <w:color w:val="auto"/>
          <w:sz w:val="22"/>
          <w:szCs w:val="28"/>
          <w:highlight w:val="none"/>
          <w:lang w:eastAsia="zh-CN"/>
        </w:rPr>
        <w:t>.</w:t>
      </w:r>
      <w:r>
        <w:rPr>
          <w:rFonts w:ascii="Times New Roman" w:hAnsi="Times New Roman" w:cs="Times New Roman"/>
          <w:b/>
          <w:bCs/>
          <w:color w:val="auto"/>
          <w:sz w:val="22"/>
          <w:szCs w:val="28"/>
          <w:highlight w:val="none"/>
          <w:lang w:eastAsia="zh-CN"/>
        </w:rPr>
        <w:t xml:space="preserve"> Eligibility and screening</w:t>
      </w:r>
    </w:p>
    <w:p w14:paraId="67375F74">
      <w:pPr>
        <w:spacing w:after="0" w:line="240" w:lineRule="auto"/>
        <w:ind w:firstLine="360" w:firstLineChars="200"/>
        <w:rPr>
          <w:rFonts w:ascii="Times New Roman" w:hAnsi="Times New Roman" w:cs="Times New Roman"/>
          <w:color w:val="auto"/>
          <w:szCs w:val="18"/>
          <w:highlight w:val="none"/>
        </w:rPr>
      </w:pPr>
    </w:p>
    <w:p w14:paraId="0A5E663B">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Include English-language peer-reviewed articles, conference papers, and technically substantive preprints that address financial LLM applications, knowledge reliability, multimodal reasoning, explainability, or governance in finance or a transferable high-risk domain. Exclude duplicates, promotional material without analyzable methods, records lacking sufficient coding detail, and non-financial studies without transferable relevance. For prospective replication, two reviewers should screen independently; disagreements should be resolved through discussion and a third reviewer when necessary. Record exclusion reasons at full-text stage.</w:t>
      </w:r>
    </w:p>
    <w:p w14:paraId="6FFE7075">
      <w:pPr>
        <w:spacing w:after="0" w:line="240" w:lineRule="auto"/>
        <w:rPr>
          <w:rFonts w:ascii="Times New Roman" w:hAnsi="Times New Roman" w:cs="Times New Roman"/>
          <w:color w:val="auto"/>
          <w:szCs w:val="18"/>
          <w:highlight w:val="none"/>
        </w:rPr>
      </w:pPr>
    </w:p>
    <w:p w14:paraId="086B8E21">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S1.5</w:t>
      </w:r>
      <w:r>
        <w:rPr>
          <w:rFonts w:hint="eastAsia" w:ascii="Times New Roman" w:hAnsi="Times New Roman" w:cs="Times New Roman"/>
          <w:b/>
          <w:bCs/>
          <w:color w:val="auto"/>
          <w:sz w:val="22"/>
          <w:szCs w:val="28"/>
          <w:highlight w:val="none"/>
          <w:lang w:eastAsia="zh-CN"/>
        </w:rPr>
        <w:t>.</w:t>
      </w:r>
      <w:r>
        <w:rPr>
          <w:rFonts w:ascii="Times New Roman" w:hAnsi="Times New Roman" w:cs="Times New Roman"/>
          <w:b/>
          <w:bCs/>
          <w:color w:val="auto"/>
          <w:sz w:val="22"/>
          <w:szCs w:val="28"/>
          <w:highlight w:val="none"/>
          <w:lang w:eastAsia="zh-CN"/>
        </w:rPr>
        <w:t xml:space="preserve"> Study-type appraisal and claim-evidence levels</w:t>
      </w:r>
    </w:p>
    <w:p w14:paraId="29537164">
      <w:pPr>
        <w:spacing w:after="0" w:line="240" w:lineRule="auto"/>
        <w:rPr>
          <w:rFonts w:ascii="Times New Roman" w:hAnsi="Times New Roman" w:cs="Times New Roman"/>
          <w:color w:val="auto"/>
          <w:szCs w:val="18"/>
          <w:highlight w:val="none"/>
        </w:rPr>
      </w:pPr>
    </w:p>
    <w:p w14:paraId="628493AA">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Category A denotes peer-reviewed empirical or benchmark research with transparent methods; B denotes model papers, preprints, or technical studies with disclosed methods and limited independent validation; C denotes review, conceptual, legal, or governance analysis; and D denotes corporate or vendor deployment material. Category D is excluded from the 67-study synthesis and used only as contextual evidence. The A–D scheme appraises the type and role of a source within the review corpus. It is distinct from the E1–E4 claim-evidence levels used in the manuscript case analysis and model comparison, which qualify individual mechanism and performance claims.</w:t>
      </w:r>
    </w:p>
    <w:p w14:paraId="508EF69B">
      <w:pPr>
        <w:spacing w:after="0" w:line="240" w:lineRule="auto"/>
        <w:rPr>
          <w:rFonts w:ascii="Times New Roman" w:hAnsi="Times New Roman" w:cs="Times New Roman"/>
          <w:b/>
          <w:bCs/>
          <w:color w:val="auto"/>
          <w:sz w:val="22"/>
          <w:szCs w:val="28"/>
          <w:highlight w:val="none"/>
          <w:lang w:eastAsia="zh-CN"/>
        </w:rPr>
      </w:pPr>
    </w:p>
    <w:p w14:paraId="1321BD5F">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S2. Study-Level Evidence Map for the 67-Study Corpus</w:t>
      </w:r>
    </w:p>
    <w:p w14:paraId="7B4477EB">
      <w:pPr>
        <w:spacing w:after="0" w:line="240" w:lineRule="auto"/>
        <w:rPr>
          <w:rFonts w:ascii="Times New Roman" w:hAnsi="Times New Roman" w:cs="Times New Roman"/>
          <w:color w:val="auto"/>
          <w:szCs w:val="18"/>
          <w:highlight w:val="none"/>
        </w:rPr>
      </w:pPr>
    </w:p>
    <w:p w14:paraId="106AAC79">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The table records the evidence fields used to reconstruct the thematic synthesis. Descriptions are concise and should be read with the full cited study.</w:t>
      </w:r>
    </w:p>
    <w:p w14:paraId="09055D5C">
      <w:pPr>
        <w:spacing w:after="0" w:line="240" w:lineRule="auto"/>
        <w:ind w:firstLine="360" w:firstLineChars="200"/>
        <w:rPr>
          <w:rFonts w:ascii="Times New Roman" w:hAnsi="Times New Roman" w:cs="Times New Roman"/>
          <w:color w:val="auto"/>
          <w:szCs w:val="18"/>
          <w:highlight w:val="none"/>
        </w:rPr>
      </w:pPr>
    </w:p>
    <w:p w14:paraId="175A5B5C">
      <w:pPr>
        <w:spacing w:after="0" w:line="240" w:lineRule="auto"/>
        <w:jc w:val="center"/>
        <w:rPr>
          <w:rFonts w:hint="eastAsia"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Table S2</w:t>
      </w:r>
    </w:p>
    <w:p w14:paraId="51DEF957">
      <w:pPr>
        <w:spacing w:after="0" w:line="240" w:lineRule="auto"/>
        <w:jc w:val="center"/>
        <w:rPr>
          <w:rFonts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Study-level evidence map for the 67-study corpus</w:t>
      </w:r>
    </w:p>
    <w:p w14:paraId="742D4862">
      <w:pPr>
        <w:spacing w:after="0" w:line="240" w:lineRule="auto"/>
        <w:rPr>
          <w:rFonts w:ascii="Times New Roman" w:hAnsi="Times New Roman" w:cs="Times New Roman"/>
          <w:color w:val="auto"/>
          <w:szCs w:val="18"/>
          <w:highlight w:val="none"/>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8"/>
        <w:gridCol w:w="2588"/>
        <w:gridCol w:w="2588"/>
        <w:gridCol w:w="2588"/>
        <w:gridCol w:w="2588"/>
        <w:gridCol w:w="2588"/>
      </w:tblGrid>
      <w:tr w14:paraId="15C4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90" w:type="dxa"/>
            <w:shd w:val="clear" w:color="auto" w:fill="D9E2F3"/>
            <w:tcMar>
              <w:top w:w="25" w:type="dxa"/>
              <w:left w:w="35" w:type="dxa"/>
              <w:bottom w:w="25" w:type="dxa"/>
              <w:right w:w="35" w:type="dxa"/>
            </w:tcMar>
            <w:vAlign w:val="center"/>
          </w:tcPr>
          <w:p w14:paraId="676751F5">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Ref</w:t>
            </w:r>
            <w:r>
              <w:rPr>
                <w:rFonts w:hint="eastAsia" w:ascii="Times New Roman" w:hAnsi="Times New Roman" w:eastAsia="宋体" w:cs="Times New Roman"/>
                <w:b w:val="0"/>
                <w:bCs/>
                <w:color w:val="auto"/>
                <w:szCs w:val="18"/>
                <w:highlight w:val="none"/>
                <w:lang w:eastAsia="zh-CN"/>
              </w:rPr>
              <w:t>erence (Ref</w:t>
            </w:r>
            <w:r>
              <w:rPr>
                <w:rFonts w:ascii="Times New Roman" w:hAnsi="Times New Roman" w:cs="Times New Roman"/>
                <w:b w:val="0"/>
                <w:bCs/>
                <w:color w:val="auto"/>
                <w:szCs w:val="18"/>
                <w:highlight w:val="none"/>
              </w:rPr>
              <w:t>.</w:t>
            </w:r>
            <w:r>
              <w:rPr>
                <w:rFonts w:hint="eastAsia" w:ascii="Times New Roman" w:hAnsi="Times New Roman" w:eastAsia="宋体" w:cs="Times New Roman"/>
                <w:b w:val="0"/>
                <w:bCs/>
                <w:color w:val="auto"/>
                <w:szCs w:val="18"/>
                <w:highlight w:val="none"/>
                <w:lang w:eastAsia="zh-CN"/>
              </w:rPr>
              <w:t>)</w:t>
            </w:r>
            <w:r>
              <w:rPr>
                <w:rFonts w:ascii="Times New Roman" w:hAnsi="Times New Roman" w:cs="Times New Roman"/>
                <w:b w:val="0"/>
                <w:bCs/>
                <w:color w:val="auto"/>
                <w:szCs w:val="18"/>
                <w:highlight w:val="none"/>
              </w:rPr>
              <w:t xml:space="preserve"> and study</w:t>
            </w:r>
          </w:p>
        </w:tc>
        <w:tc>
          <w:tcPr>
            <w:tcW w:w="2590" w:type="dxa"/>
            <w:shd w:val="clear" w:color="auto" w:fill="D9E2F3"/>
            <w:tcMar>
              <w:top w:w="25" w:type="dxa"/>
              <w:left w:w="35" w:type="dxa"/>
              <w:bottom w:w="25" w:type="dxa"/>
              <w:right w:w="35" w:type="dxa"/>
            </w:tcMar>
            <w:vAlign w:val="center"/>
          </w:tcPr>
          <w:p w14:paraId="01C00018">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Context and model/system type</w:t>
            </w:r>
          </w:p>
        </w:tc>
        <w:tc>
          <w:tcPr>
            <w:tcW w:w="2590" w:type="dxa"/>
            <w:shd w:val="clear" w:color="auto" w:fill="D9E2F3"/>
            <w:tcMar>
              <w:top w:w="25" w:type="dxa"/>
              <w:left w:w="35" w:type="dxa"/>
              <w:bottom w:w="25" w:type="dxa"/>
              <w:right w:w="35" w:type="dxa"/>
            </w:tcMar>
            <w:vAlign w:val="center"/>
          </w:tcPr>
          <w:p w14:paraId="3DD05543">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Method and evidence base</w:t>
            </w:r>
          </w:p>
        </w:tc>
        <w:tc>
          <w:tcPr>
            <w:tcW w:w="2590" w:type="dxa"/>
            <w:shd w:val="clear" w:color="auto" w:fill="D9E2F3"/>
            <w:tcMar>
              <w:top w:w="25" w:type="dxa"/>
              <w:left w:w="35" w:type="dxa"/>
              <w:bottom w:w="25" w:type="dxa"/>
              <w:right w:w="35" w:type="dxa"/>
            </w:tcMar>
            <w:vAlign w:val="center"/>
          </w:tcPr>
          <w:p w14:paraId="7C63BC30">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Contribution used in synthesis</w:t>
            </w:r>
          </w:p>
        </w:tc>
        <w:tc>
          <w:tcPr>
            <w:tcW w:w="2590" w:type="dxa"/>
            <w:shd w:val="clear" w:color="auto" w:fill="D9E2F3"/>
            <w:tcMar>
              <w:top w:w="25" w:type="dxa"/>
              <w:left w:w="35" w:type="dxa"/>
              <w:bottom w:w="25" w:type="dxa"/>
              <w:right w:w="35" w:type="dxa"/>
            </w:tcMar>
            <w:vAlign w:val="center"/>
          </w:tcPr>
          <w:p w14:paraId="19376DE8">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Evidence qualification</w:t>
            </w:r>
          </w:p>
        </w:tc>
        <w:tc>
          <w:tcPr>
            <w:tcW w:w="2590" w:type="dxa"/>
            <w:shd w:val="clear" w:color="auto" w:fill="D9E2F3"/>
            <w:tcMar>
              <w:top w:w="25" w:type="dxa"/>
              <w:left w:w="35" w:type="dxa"/>
              <w:bottom w:w="25" w:type="dxa"/>
              <w:right w:w="35" w:type="dxa"/>
            </w:tcMar>
            <w:vAlign w:val="center"/>
          </w:tcPr>
          <w:p w14:paraId="7E80297B">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Primary theme / category</w:t>
            </w:r>
          </w:p>
        </w:tc>
      </w:tr>
      <w:tr w14:paraId="43EE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6436F1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 </w:t>
            </w:r>
          </w:p>
        </w:tc>
        <w:tc>
          <w:tcPr>
            <w:tcW w:w="2590" w:type="dxa"/>
            <w:tcMar>
              <w:top w:w="20" w:type="dxa"/>
              <w:left w:w="30" w:type="dxa"/>
              <w:bottom w:w="20" w:type="dxa"/>
              <w:right w:w="30" w:type="dxa"/>
            </w:tcMar>
            <w:vAlign w:val="center"/>
          </w:tcPr>
          <w:p w14:paraId="040A824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Foundation-model trustworthiness</w:t>
            </w:r>
          </w:p>
        </w:tc>
        <w:tc>
          <w:tcPr>
            <w:tcW w:w="2590" w:type="dxa"/>
            <w:tcMar>
              <w:top w:w="20" w:type="dxa"/>
              <w:left w:w="30" w:type="dxa"/>
              <w:bottom w:w="20" w:type="dxa"/>
              <w:right w:w="30" w:type="dxa"/>
            </w:tcMar>
            <w:vAlign w:val="center"/>
          </w:tcPr>
          <w:p w14:paraId="2235AAD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Comprehensive survey and roadmap; Literature synthesis</w:t>
            </w:r>
          </w:p>
        </w:tc>
        <w:tc>
          <w:tcPr>
            <w:tcW w:w="2590" w:type="dxa"/>
            <w:tcMar>
              <w:top w:w="20" w:type="dxa"/>
              <w:left w:w="30" w:type="dxa"/>
              <w:bottom w:w="20" w:type="dxa"/>
              <w:right w:w="30" w:type="dxa"/>
            </w:tcMar>
            <w:vAlign w:val="center"/>
          </w:tcPr>
          <w:p w14:paraId="7FE82FB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Defines lifecycle trust requirements used in Pathway 3</w:t>
            </w:r>
          </w:p>
        </w:tc>
        <w:tc>
          <w:tcPr>
            <w:tcW w:w="2590" w:type="dxa"/>
            <w:tcMar>
              <w:top w:w="20" w:type="dxa"/>
              <w:left w:w="30" w:type="dxa"/>
              <w:bottom w:w="20" w:type="dxa"/>
              <w:right w:w="30" w:type="dxa"/>
            </w:tcMar>
            <w:vAlign w:val="center"/>
          </w:tcPr>
          <w:p w14:paraId="097BFE2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Survey-level evidence; no financial deployment test</w:t>
            </w:r>
          </w:p>
        </w:tc>
        <w:tc>
          <w:tcPr>
            <w:tcW w:w="2590" w:type="dxa"/>
            <w:tcMar>
              <w:top w:w="20" w:type="dxa"/>
              <w:left w:w="30" w:type="dxa"/>
              <w:bottom w:w="20" w:type="dxa"/>
              <w:right w:w="30" w:type="dxa"/>
            </w:tcMar>
            <w:vAlign w:val="center"/>
          </w:tcPr>
          <w:p w14:paraId="74D2540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5D1F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00BB255">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 </w:t>
            </w:r>
          </w:p>
        </w:tc>
        <w:tc>
          <w:tcPr>
            <w:tcW w:w="2590" w:type="dxa"/>
            <w:tcMar>
              <w:top w:w="20" w:type="dxa"/>
              <w:left w:w="30" w:type="dxa"/>
              <w:bottom w:w="20" w:type="dxa"/>
              <w:right w:w="30" w:type="dxa"/>
            </w:tcMar>
            <w:vAlign w:val="center"/>
          </w:tcPr>
          <w:p w14:paraId="7BC51C6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Foundation-model-based systems</w:t>
            </w:r>
          </w:p>
        </w:tc>
        <w:tc>
          <w:tcPr>
            <w:tcW w:w="2590" w:type="dxa"/>
            <w:tcMar>
              <w:top w:w="20" w:type="dxa"/>
              <w:left w:w="30" w:type="dxa"/>
              <w:bottom w:w="20" w:type="dxa"/>
              <w:right w:w="30" w:type="dxa"/>
            </w:tcMar>
            <w:vAlign w:val="center"/>
          </w:tcPr>
          <w:p w14:paraId="53DE833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Reference architecture; Architecture synthesis</w:t>
            </w:r>
          </w:p>
        </w:tc>
        <w:tc>
          <w:tcPr>
            <w:tcW w:w="2590" w:type="dxa"/>
            <w:tcMar>
              <w:top w:w="20" w:type="dxa"/>
              <w:left w:w="30" w:type="dxa"/>
              <w:bottom w:w="20" w:type="dxa"/>
              <w:right w:w="30" w:type="dxa"/>
            </w:tcMar>
            <w:vAlign w:val="center"/>
          </w:tcPr>
          <w:p w14:paraId="1A5D987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Links responsible-AI requirements to system architecture</w:t>
            </w:r>
          </w:p>
        </w:tc>
        <w:tc>
          <w:tcPr>
            <w:tcW w:w="2590" w:type="dxa"/>
            <w:tcMar>
              <w:top w:w="20" w:type="dxa"/>
              <w:left w:w="30" w:type="dxa"/>
              <w:bottom w:w="20" w:type="dxa"/>
              <w:right w:w="30" w:type="dxa"/>
            </w:tcMar>
            <w:vAlign w:val="center"/>
          </w:tcPr>
          <w:p w14:paraId="13AE2CB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Conceptual reference architecture</w:t>
            </w:r>
          </w:p>
        </w:tc>
        <w:tc>
          <w:tcPr>
            <w:tcW w:w="2590" w:type="dxa"/>
            <w:tcMar>
              <w:top w:w="20" w:type="dxa"/>
              <w:left w:w="30" w:type="dxa"/>
              <w:bottom w:w="20" w:type="dxa"/>
              <w:right w:w="30" w:type="dxa"/>
            </w:tcMar>
            <w:vAlign w:val="center"/>
          </w:tcPr>
          <w:p w14:paraId="1BF690D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04AE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E94A6A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 </w:t>
            </w:r>
          </w:p>
        </w:tc>
        <w:tc>
          <w:tcPr>
            <w:tcW w:w="2590" w:type="dxa"/>
            <w:tcMar>
              <w:top w:w="20" w:type="dxa"/>
              <w:left w:w="30" w:type="dxa"/>
              <w:bottom w:w="20" w:type="dxa"/>
              <w:right w:w="30" w:type="dxa"/>
            </w:tcMar>
            <w:vAlign w:val="center"/>
          </w:tcPr>
          <w:p w14:paraId="47CAEBB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safety and trustworthiness</w:t>
            </w:r>
          </w:p>
        </w:tc>
        <w:tc>
          <w:tcPr>
            <w:tcW w:w="2590" w:type="dxa"/>
            <w:tcMar>
              <w:top w:w="20" w:type="dxa"/>
              <w:left w:w="30" w:type="dxa"/>
              <w:bottom w:w="20" w:type="dxa"/>
              <w:right w:w="30" w:type="dxa"/>
            </w:tcMar>
            <w:vAlign w:val="center"/>
          </w:tcPr>
          <w:p w14:paraId="4EC11C5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Verification-and-validation survey; Literature synthesis</w:t>
            </w:r>
          </w:p>
        </w:tc>
        <w:tc>
          <w:tcPr>
            <w:tcW w:w="2590" w:type="dxa"/>
            <w:tcMar>
              <w:top w:w="20" w:type="dxa"/>
              <w:left w:w="30" w:type="dxa"/>
              <w:bottom w:w="20" w:type="dxa"/>
              <w:right w:w="30" w:type="dxa"/>
            </w:tcMar>
            <w:vAlign w:val="center"/>
          </w:tcPr>
          <w:p w14:paraId="616978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Organizes evaluation, formal verification, runtime monitoring, and governance</w:t>
            </w:r>
          </w:p>
        </w:tc>
        <w:tc>
          <w:tcPr>
            <w:tcW w:w="2590" w:type="dxa"/>
            <w:tcMar>
              <w:top w:w="20" w:type="dxa"/>
              <w:left w:w="30" w:type="dxa"/>
              <w:bottom w:w="20" w:type="dxa"/>
              <w:right w:w="30" w:type="dxa"/>
            </w:tcMar>
            <w:vAlign w:val="center"/>
          </w:tcPr>
          <w:p w14:paraId="264EC42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Survey; heterogeneous evidence</w:t>
            </w:r>
          </w:p>
        </w:tc>
        <w:tc>
          <w:tcPr>
            <w:tcW w:w="2590" w:type="dxa"/>
            <w:tcMar>
              <w:top w:w="20" w:type="dxa"/>
              <w:left w:w="30" w:type="dxa"/>
              <w:bottom w:w="20" w:type="dxa"/>
              <w:right w:w="30" w:type="dxa"/>
            </w:tcMar>
            <w:vAlign w:val="center"/>
          </w:tcPr>
          <w:p w14:paraId="36C6D38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274A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19078F2">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 </w:t>
            </w:r>
          </w:p>
        </w:tc>
        <w:tc>
          <w:tcPr>
            <w:tcW w:w="2590" w:type="dxa"/>
            <w:tcMar>
              <w:top w:w="20" w:type="dxa"/>
              <w:left w:w="30" w:type="dxa"/>
              <w:bottom w:w="20" w:type="dxa"/>
              <w:right w:w="30" w:type="dxa"/>
            </w:tcMar>
            <w:vAlign w:val="center"/>
          </w:tcPr>
          <w:p w14:paraId="0E7CB2E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LLMs</w:t>
            </w:r>
          </w:p>
        </w:tc>
        <w:tc>
          <w:tcPr>
            <w:tcW w:w="2590" w:type="dxa"/>
            <w:tcMar>
              <w:top w:w="20" w:type="dxa"/>
              <w:left w:w="30" w:type="dxa"/>
              <w:bottom w:w="20" w:type="dxa"/>
              <w:right w:w="30" w:type="dxa"/>
            </w:tcMar>
            <w:vAlign w:val="center"/>
          </w:tcPr>
          <w:p w14:paraId="60E843B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Systematic survey of alignment methods; Literature synthesis</w:t>
            </w:r>
          </w:p>
        </w:tc>
        <w:tc>
          <w:tcPr>
            <w:tcW w:w="2590" w:type="dxa"/>
            <w:tcMar>
              <w:top w:w="20" w:type="dxa"/>
              <w:left w:w="30" w:type="dxa"/>
              <w:bottom w:w="20" w:type="dxa"/>
              <w:right w:w="30" w:type="dxa"/>
            </w:tcMar>
            <w:vAlign w:val="center"/>
          </w:tcPr>
          <w:p w14:paraId="497A069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Identifies alignment choices and modality gaps</w:t>
            </w:r>
          </w:p>
        </w:tc>
        <w:tc>
          <w:tcPr>
            <w:tcW w:w="2590" w:type="dxa"/>
            <w:tcMar>
              <w:top w:w="20" w:type="dxa"/>
              <w:left w:w="30" w:type="dxa"/>
              <w:bottom w:w="20" w:type="dxa"/>
              <w:right w:w="30" w:type="dxa"/>
            </w:tcMar>
            <w:vAlign w:val="center"/>
          </w:tcPr>
          <w:p w14:paraId="695AA8A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 MLLM evidence; finance transfer requires testing</w:t>
            </w:r>
          </w:p>
        </w:tc>
        <w:tc>
          <w:tcPr>
            <w:tcW w:w="2590" w:type="dxa"/>
            <w:tcMar>
              <w:top w:w="20" w:type="dxa"/>
              <w:left w:w="30" w:type="dxa"/>
              <w:bottom w:w="20" w:type="dxa"/>
              <w:right w:w="30" w:type="dxa"/>
            </w:tcMar>
            <w:vAlign w:val="center"/>
          </w:tcPr>
          <w:p w14:paraId="5605603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5263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DDE1239">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 </w:t>
            </w:r>
          </w:p>
        </w:tc>
        <w:tc>
          <w:tcPr>
            <w:tcW w:w="2590" w:type="dxa"/>
            <w:tcMar>
              <w:top w:w="20" w:type="dxa"/>
              <w:left w:w="30" w:type="dxa"/>
              <w:bottom w:w="20" w:type="dxa"/>
              <w:right w:w="30" w:type="dxa"/>
            </w:tcMar>
            <w:vAlign w:val="center"/>
          </w:tcPr>
          <w:p w14:paraId="2B6DFA2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Asset management</w:t>
            </w:r>
          </w:p>
        </w:tc>
        <w:tc>
          <w:tcPr>
            <w:tcW w:w="2590" w:type="dxa"/>
            <w:tcMar>
              <w:top w:w="20" w:type="dxa"/>
              <w:left w:w="30" w:type="dxa"/>
              <w:bottom w:w="20" w:type="dxa"/>
              <w:right w:w="30" w:type="dxa"/>
            </w:tcMar>
            <w:vAlign w:val="center"/>
          </w:tcPr>
          <w:p w14:paraId="3522CE7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Practice-oriented foundation-model analysis; Workflow and governance analysis</w:t>
            </w:r>
          </w:p>
        </w:tc>
        <w:tc>
          <w:tcPr>
            <w:tcW w:w="2590" w:type="dxa"/>
            <w:tcMar>
              <w:top w:w="20" w:type="dxa"/>
              <w:left w:w="30" w:type="dxa"/>
              <w:bottom w:w="20" w:type="dxa"/>
              <w:right w:w="30" w:type="dxa"/>
            </w:tcMar>
            <w:vAlign w:val="center"/>
          </w:tcPr>
          <w:p w14:paraId="135851D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that value depends on process fit and governance</w:t>
            </w:r>
          </w:p>
        </w:tc>
        <w:tc>
          <w:tcPr>
            <w:tcW w:w="2590" w:type="dxa"/>
            <w:tcMar>
              <w:top w:w="20" w:type="dxa"/>
              <w:left w:w="30" w:type="dxa"/>
              <w:bottom w:w="20" w:type="dxa"/>
              <w:right w:w="30" w:type="dxa"/>
            </w:tcMar>
            <w:vAlign w:val="center"/>
          </w:tcPr>
          <w:p w14:paraId="3E48D3C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Practice guide; no common benchmark</w:t>
            </w:r>
          </w:p>
        </w:tc>
        <w:tc>
          <w:tcPr>
            <w:tcW w:w="2590" w:type="dxa"/>
            <w:tcMar>
              <w:top w:w="20" w:type="dxa"/>
              <w:left w:w="30" w:type="dxa"/>
              <w:bottom w:w="20" w:type="dxa"/>
              <w:right w:w="30" w:type="dxa"/>
            </w:tcMar>
            <w:vAlign w:val="center"/>
          </w:tcPr>
          <w:p w14:paraId="0AF0C93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 / C</w:t>
            </w:r>
          </w:p>
        </w:tc>
      </w:tr>
      <w:tr w14:paraId="454E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FAD6BDC">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 </w:t>
            </w:r>
          </w:p>
        </w:tc>
        <w:tc>
          <w:tcPr>
            <w:tcW w:w="2590" w:type="dxa"/>
            <w:tcMar>
              <w:top w:w="20" w:type="dxa"/>
              <w:left w:w="30" w:type="dxa"/>
              <w:bottom w:w="20" w:type="dxa"/>
              <w:right w:w="30" w:type="dxa"/>
            </w:tcMar>
            <w:vAlign w:val="center"/>
          </w:tcPr>
          <w:p w14:paraId="7B0FA5F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Investment modeling</w:t>
            </w:r>
          </w:p>
        </w:tc>
        <w:tc>
          <w:tcPr>
            <w:tcW w:w="2590" w:type="dxa"/>
            <w:tcMar>
              <w:top w:w="20" w:type="dxa"/>
              <w:left w:w="30" w:type="dxa"/>
              <w:bottom w:w="20" w:type="dxa"/>
              <w:right w:w="30" w:type="dxa"/>
            </w:tcMar>
            <w:vAlign w:val="center"/>
          </w:tcPr>
          <w:p w14:paraId="225F0D2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Large investment model study; Model development and evaluation</w:t>
            </w:r>
          </w:p>
        </w:tc>
        <w:tc>
          <w:tcPr>
            <w:tcW w:w="2590" w:type="dxa"/>
            <w:tcMar>
              <w:top w:w="20" w:type="dxa"/>
              <w:left w:w="30" w:type="dxa"/>
              <w:bottom w:w="20" w:type="dxa"/>
              <w:right w:w="30" w:type="dxa"/>
            </w:tcMar>
            <w:vAlign w:val="center"/>
          </w:tcPr>
          <w:p w14:paraId="3387BCE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Demonstrates financial modeling use of LLM-based systems</w:t>
            </w:r>
          </w:p>
        </w:tc>
        <w:tc>
          <w:tcPr>
            <w:tcW w:w="2590" w:type="dxa"/>
            <w:tcMar>
              <w:top w:w="20" w:type="dxa"/>
              <w:left w:w="30" w:type="dxa"/>
              <w:bottom w:w="20" w:type="dxa"/>
              <w:right w:w="30" w:type="dxa"/>
            </w:tcMar>
            <w:vAlign w:val="center"/>
          </w:tcPr>
          <w:p w14:paraId="7965A9F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Task-specific evidence</w:t>
            </w:r>
          </w:p>
        </w:tc>
        <w:tc>
          <w:tcPr>
            <w:tcW w:w="2590" w:type="dxa"/>
            <w:tcMar>
              <w:top w:w="20" w:type="dxa"/>
              <w:left w:w="30" w:type="dxa"/>
              <w:bottom w:w="20" w:type="dxa"/>
              <w:right w:w="30" w:type="dxa"/>
            </w:tcMar>
            <w:vAlign w:val="center"/>
          </w:tcPr>
          <w:p w14:paraId="4C35C18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 / A</w:t>
            </w:r>
          </w:p>
        </w:tc>
      </w:tr>
      <w:tr w14:paraId="67E6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AE133A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[7] </w:t>
            </w:r>
          </w:p>
        </w:tc>
        <w:tc>
          <w:tcPr>
            <w:tcW w:w="2590" w:type="dxa"/>
            <w:tcMar>
              <w:top w:w="20" w:type="dxa"/>
              <w:left w:w="30" w:type="dxa"/>
              <w:bottom w:w="20" w:type="dxa"/>
              <w:right w:w="30" w:type="dxa"/>
            </w:tcMar>
            <w:vAlign w:val="center"/>
          </w:tcPr>
          <w:p w14:paraId="2C87852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Financial-market sentiment</w:t>
            </w:r>
          </w:p>
        </w:tc>
        <w:tc>
          <w:tcPr>
            <w:tcW w:w="2590" w:type="dxa"/>
            <w:tcMar>
              <w:top w:w="20" w:type="dxa"/>
              <w:left w:w="30" w:type="dxa"/>
              <w:bottom w:w="20" w:type="dxa"/>
              <w:right w:w="30" w:type="dxa"/>
            </w:tcMar>
            <w:vAlign w:val="center"/>
          </w:tcPr>
          <w:p w14:paraId="660D04C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Review, datasets, and case study; Review plus case analysis</w:t>
            </w:r>
          </w:p>
        </w:tc>
        <w:tc>
          <w:tcPr>
            <w:tcW w:w="2590" w:type="dxa"/>
            <w:tcMar>
              <w:top w:w="20" w:type="dxa"/>
              <w:left w:w="30" w:type="dxa"/>
              <w:bottom w:w="20" w:type="dxa"/>
              <w:right w:w="30" w:type="dxa"/>
            </w:tcMar>
            <w:vAlign w:val="center"/>
          </w:tcPr>
          <w:p w14:paraId="1C7C788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Summarizes sentiment applications and data resources</w:t>
            </w:r>
          </w:p>
        </w:tc>
        <w:tc>
          <w:tcPr>
            <w:tcW w:w="2590" w:type="dxa"/>
            <w:tcMar>
              <w:top w:w="20" w:type="dxa"/>
              <w:left w:w="30" w:type="dxa"/>
              <w:bottom w:w="20" w:type="dxa"/>
              <w:right w:w="30" w:type="dxa"/>
            </w:tcMar>
            <w:vAlign w:val="center"/>
          </w:tcPr>
          <w:p w14:paraId="6E284B5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Performance depends on datasets and market setting</w:t>
            </w:r>
          </w:p>
        </w:tc>
        <w:tc>
          <w:tcPr>
            <w:tcW w:w="2590" w:type="dxa"/>
            <w:tcMar>
              <w:top w:w="20" w:type="dxa"/>
              <w:left w:w="30" w:type="dxa"/>
              <w:bottom w:w="20" w:type="dxa"/>
              <w:right w:w="30" w:type="dxa"/>
            </w:tcMar>
            <w:vAlign w:val="center"/>
          </w:tcPr>
          <w:p w14:paraId="1ADE942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 / C</w:t>
            </w:r>
          </w:p>
        </w:tc>
      </w:tr>
      <w:tr w14:paraId="27F4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42F440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[8] </w:t>
            </w:r>
          </w:p>
        </w:tc>
        <w:tc>
          <w:tcPr>
            <w:tcW w:w="2590" w:type="dxa"/>
            <w:tcMar>
              <w:top w:w="20" w:type="dxa"/>
              <w:left w:w="30" w:type="dxa"/>
              <w:bottom w:w="20" w:type="dxa"/>
              <w:right w:w="30" w:type="dxa"/>
            </w:tcMar>
            <w:vAlign w:val="center"/>
          </w:tcPr>
          <w:p w14:paraId="745106C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Sentiment trading</w:t>
            </w:r>
          </w:p>
        </w:tc>
        <w:tc>
          <w:tcPr>
            <w:tcW w:w="2590" w:type="dxa"/>
            <w:tcMar>
              <w:top w:w="20" w:type="dxa"/>
              <w:left w:w="30" w:type="dxa"/>
              <w:bottom w:w="20" w:type="dxa"/>
              <w:right w:w="30" w:type="dxa"/>
            </w:tcMar>
            <w:vAlign w:val="center"/>
          </w:tcPr>
          <w:p w14:paraId="637DB20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Empirical trading study; Market data and trading evaluation</w:t>
            </w:r>
          </w:p>
        </w:tc>
        <w:tc>
          <w:tcPr>
            <w:tcW w:w="2590" w:type="dxa"/>
            <w:tcMar>
              <w:top w:w="20" w:type="dxa"/>
              <w:left w:w="30" w:type="dxa"/>
              <w:bottom w:w="20" w:type="dxa"/>
              <w:right w:w="30" w:type="dxa"/>
            </w:tcMar>
            <w:vAlign w:val="center"/>
          </w:tcPr>
          <w:p w14:paraId="6824413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Tests LLM-derived sentiment in trading</w:t>
            </w:r>
          </w:p>
        </w:tc>
        <w:tc>
          <w:tcPr>
            <w:tcW w:w="2590" w:type="dxa"/>
            <w:tcMar>
              <w:top w:w="20" w:type="dxa"/>
              <w:left w:w="30" w:type="dxa"/>
              <w:bottom w:w="20" w:type="dxa"/>
              <w:right w:w="30" w:type="dxa"/>
            </w:tcMar>
            <w:vAlign w:val="center"/>
          </w:tcPr>
          <w:p w14:paraId="51E6A01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Strategy- and period-specific results</w:t>
            </w:r>
          </w:p>
        </w:tc>
        <w:tc>
          <w:tcPr>
            <w:tcW w:w="2590" w:type="dxa"/>
            <w:tcMar>
              <w:top w:w="20" w:type="dxa"/>
              <w:left w:w="30" w:type="dxa"/>
              <w:bottom w:w="20" w:type="dxa"/>
              <w:right w:w="30" w:type="dxa"/>
            </w:tcMar>
            <w:vAlign w:val="center"/>
          </w:tcPr>
          <w:p w14:paraId="179771C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 / A</w:t>
            </w:r>
          </w:p>
        </w:tc>
      </w:tr>
      <w:tr w14:paraId="68A1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C760B88">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[9] </w:t>
            </w:r>
          </w:p>
        </w:tc>
        <w:tc>
          <w:tcPr>
            <w:tcW w:w="2590" w:type="dxa"/>
            <w:tcMar>
              <w:top w:w="20" w:type="dxa"/>
              <w:left w:w="30" w:type="dxa"/>
              <w:bottom w:w="20" w:type="dxa"/>
              <w:right w:w="30" w:type="dxa"/>
            </w:tcMar>
            <w:vAlign w:val="center"/>
          </w:tcPr>
          <w:p w14:paraId="57A562E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Portfolio selection</w:t>
            </w:r>
          </w:p>
        </w:tc>
        <w:tc>
          <w:tcPr>
            <w:tcW w:w="2590" w:type="dxa"/>
            <w:tcMar>
              <w:top w:w="20" w:type="dxa"/>
              <w:left w:w="30" w:type="dxa"/>
              <w:bottom w:w="20" w:type="dxa"/>
              <w:right w:w="30" w:type="dxa"/>
            </w:tcMar>
            <w:vAlign w:val="center"/>
          </w:tcPr>
          <w:p w14:paraId="7ED12E7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ChatGPT portfolio experiment; Risk-profile portfolio comparison</w:t>
            </w:r>
          </w:p>
        </w:tc>
        <w:tc>
          <w:tcPr>
            <w:tcW w:w="2590" w:type="dxa"/>
            <w:tcMar>
              <w:top w:w="20" w:type="dxa"/>
              <w:left w:w="30" w:type="dxa"/>
              <w:bottom w:w="20" w:type="dxa"/>
              <w:right w:w="30" w:type="dxa"/>
            </w:tcMar>
            <w:vAlign w:val="center"/>
          </w:tcPr>
          <w:p w14:paraId="39F125B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Examines portfolio recommendations across risk appetites</w:t>
            </w:r>
          </w:p>
        </w:tc>
        <w:tc>
          <w:tcPr>
            <w:tcW w:w="2590" w:type="dxa"/>
            <w:tcMar>
              <w:top w:w="20" w:type="dxa"/>
              <w:left w:w="30" w:type="dxa"/>
              <w:bottom w:w="20" w:type="dxa"/>
              <w:right w:w="30" w:type="dxa"/>
            </w:tcMar>
            <w:vAlign w:val="center"/>
          </w:tcPr>
          <w:p w14:paraId="734088D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Model-version and prompt dependence</w:t>
            </w:r>
          </w:p>
        </w:tc>
        <w:tc>
          <w:tcPr>
            <w:tcW w:w="2590" w:type="dxa"/>
            <w:tcMar>
              <w:top w:w="20" w:type="dxa"/>
              <w:left w:w="30" w:type="dxa"/>
              <w:bottom w:w="20" w:type="dxa"/>
              <w:right w:w="30" w:type="dxa"/>
            </w:tcMar>
            <w:vAlign w:val="center"/>
          </w:tcPr>
          <w:p w14:paraId="0DCF66A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 / A</w:t>
            </w:r>
          </w:p>
        </w:tc>
      </w:tr>
      <w:tr w14:paraId="3F62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972623B">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[10] </w:t>
            </w:r>
          </w:p>
        </w:tc>
        <w:tc>
          <w:tcPr>
            <w:tcW w:w="2590" w:type="dxa"/>
            <w:tcMar>
              <w:top w:w="20" w:type="dxa"/>
              <w:left w:w="30" w:type="dxa"/>
              <w:bottom w:w="20" w:type="dxa"/>
              <w:right w:w="30" w:type="dxa"/>
            </w:tcMar>
            <w:vAlign w:val="center"/>
          </w:tcPr>
          <w:p w14:paraId="542F31A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Industrial LLM applications</w:t>
            </w:r>
          </w:p>
        </w:tc>
        <w:tc>
          <w:tcPr>
            <w:tcW w:w="2590" w:type="dxa"/>
            <w:tcMar>
              <w:top w:w="20" w:type="dxa"/>
              <w:left w:w="30" w:type="dxa"/>
              <w:bottom w:w="20" w:type="dxa"/>
              <w:right w:w="30" w:type="dxa"/>
            </w:tcMar>
            <w:vAlign w:val="center"/>
          </w:tcPr>
          <w:p w14:paraId="31907A5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Systems-engineering analysis; Architecture and deployment synthesis</w:t>
            </w:r>
          </w:p>
        </w:tc>
        <w:tc>
          <w:tcPr>
            <w:tcW w:w="2590" w:type="dxa"/>
            <w:tcMar>
              <w:top w:w="20" w:type="dxa"/>
              <w:left w:w="30" w:type="dxa"/>
              <w:bottom w:w="20" w:type="dxa"/>
              <w:right w:w="30" w:type="dxa"/>
            </w:tcMar>
            <w:vAlign w:val="center"/>
          </w:tcPr>
          <w:p w14:paraId="0EB1DE3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Identifies integration issues when LLMs enter industry systems</w:t>
            </w:r>
          </w:p>
        </w:tc>
        <w:tc>
          <w:tcPr>
            <w:tcW w:w="2590" w:type="dxa"/>
            <w:tcMar>
              <w:top w:w="20" w:type="dxa"/>
              <w:left w:w="30" w:type="dxa"/>
              <w:bottom w:w="20" w:type="dxa"/>
              <w:right w:w="30" w:type="dxa"/>
            </w:tcMar>
            <w:vAlign w:val="center"/>
          </w:tcPr>
          <w:p w14:paraId="58A73E9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 industry analysis</w:t>
            </w:r>
          </w:p>
        </w:tc>
        <w:tc>
          <w:tcPr>
            <w:tcW w:w="2590" w:type="dxa"/>
            <w:tcMar>
              <w:top w:w="20" w:type="dxa"/>
              <w:left w:w="30" w:type="dxa"/>
              <w:bottom w:w="20" w:type="dxa"/>
              <w:right w:w="30" w:type="dxa"/>
            </w:tcMar>
            <w:vAlign w:val="center"/>
          </w:tcPr>
          <w:p w14:paraId="231A34A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 / C</w:t>
            </w:r>
          </w:p>
        </w:tc>
      </w:tr>
      <w:tr w14:paraId="0BFA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473F8D42">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[11] </w:t>
            </w:r>
          </w:p>
        </w:tc>
        <w:tc>
          <w:tcPr>
            <w:tcW w:w="2590" w:type="dxa"/>
            <w:tcMar>
              <w:top w:w="20" w:type="dxa"/>
              <w:left w:w="30" w:type="dxa"/>
              <w:bottom w:w="20" w:type="dxa"/>
              <w:right w:w="30" w:type="dxa"/>
            </w:tcMar>
            <w:vAlign w:val="center"/>
          </w:tcPr>
          <w:p w14:paraId="6C1AF07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Climate finance</w:t>
            </w:r>
          </w:p>
        </w:tc>
        <w:tc>
          <w:tcPr>
            <w:tcW w:w="2590" w:type="dxa"/>
            <w:tcMar>
              <w:top w:w="20" w:type="dxa"/>
              <w:left w:w="30" w:type="dxa"/>
              <w:bottom w:w="20" w:type="dxa"/>
              <w:right w:w="30" w:type="dxa"/>
            </w:tcMar>
            <w:vAlign w:val="center"/>
          </w:tcPr>
          <w:p w14:paraId="60872C9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Interview-style model evaluation; Prompted question-and-answer evidence</w:t>
            </w:r>
          </w:p>
        </w:tc>
        <w:tc>
          <w:tcPr>
            <w:tcW w:w="2590" w:type="dxa"/>
            <w:tcMar>
              <w:top w:w="20" w:type="dxa"/>
              <w:left w:w="30" w:type="dxa"/>
              <w:bottom w:w="20" w:type="dxa"/>
              <w:right w:w="30" w:type="dxa"/>
            </w:tcMar>
            <w:vAlign w:val="center"/>
          </w:tcPr>
          <w:p w14:paraId="3CC67B5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fluent outputs can contain factual weaknesses</w:t>
            </w:r>
          </w:p>
        </w:tc>
        <w:tc>
          <w:tcPr>
            <w:tcW w:w="2590" w:type="dxa"/>
            <w:tcMar>
              <w:top w:w="20" w:type="dxa"/>
              <w:left w:w="30" w:type="dxa"/>
              <w:bottom w:w="20" w:type="dxa"/>
              <w:right w:w="30" w:type="dxa"/>
            </w:tcMar>
            <w:vAlign w:val="center"/>
          </w:tcPr>
          <w:p w14:paraId="2576945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Single model and domain probe</w:t>
            </w:r>
          </w:p>
        </w:tc>
        <w:tc>
          <w:tcPr>
            <w:tcW w:w="2590" w:type="dxa"/>
            <w:tcMar>
              <w:top w:w="20" w:type="dxa"/>
              <w:left w:w="30" w:type="dxa"/>
              <w:bottom w:w="20" w:type="dxa"/>
              <w:right w:w="30" w:type="dxa"/>
            </w:tcMar>
            <w:vAlign w:val="center"/>
          </w:tcPr>
          <w:p w14:paraId="5124CDD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B</w:t>
            </w:r>
          </w:p>
        </w:tc>
      </w:tr>
      <w:tr w14:paraId="347D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5EF507E">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[12] </w:t>
            </w:r>
          </w:p>
        </w:tc>
        <w:tc>
          <w:tcPr>
            <w:tcW w:w="2590" w:type="dxa"/>
            <w:tcMar>
              <w:top w:w="20" w:type="dxa"/>
              <w:left w:w="30" w:type="dxa"/>
              <w:bottom w:w="20" w:type="dxa"/>
              <w:right w:w="30" w:type="dxa"/>
            </w:tcMar>
            <w:vAlign w:val="center"/>
          </w:tcPr>
          <w:p w14:paraId="58EFDA3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machine learning</w:t>
            </w:r>
          </w:p>
        </w:tc>
        <w:tc>
          <w:tcPr>
            <w:tcW w:w="2590" w:type="dxa"/>
            <w:tcMar>
              <w:top w:w="20" w:type="dxa"/>
              <w:left w:w="30" w:type="dxa"/>
              <w:bottom w:w="20" w:type="dxa"/>
              <w:right w:w="30" w:type="dxa"/>
            </w:tcMar>
            <w:vAlign w:val="center"/>
          </w:tcPr>
          <w:p w14:paraId="04939E7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Foundational survey and taxonomy; Literature synthesis</w:t>
            </w:r>
          </w:p>
        </w:tc>
        <w:tc>
          <w:tcPr>
            <w:tcW w:w="2590" w:type="dxa"/>
            <w:tcMar>
              <w:top w:w="20" w:type="dxa"/>
              <w:left w:w="30" w:type="dxa"/>
              <w:bottom w:w="20" w:type="dxa"/>
              <w:right w:w="30" w:type="dxa"/>
            </w:tcMar>
            <w:vAlign w:val="center"/>
          </w:tcPr>
          <w:p w14:paraId="2E33FCD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Defines modality, alignment, fusion, and co-learning concepts</w:t>
            </w:r>
          </w:p>
        </w:tc>
        <w:tc>
          <w:tcPr>
            <w:tcW w:w="2590" w:type="dxa"/>
            <w:tcMar>
              <w:top w:w="20" w:type="dxa"/>
              <w:left w:w="30" w:type="dxa"/>
              <w:bottom w:w="20" w:type="dxa"/>
              <w:right w:w="30" w:type="dxa"/>
            </w:tcMar>
            <w:vAlign w:val="center"/>
          </w:tcPr>
          <w:p w14:paraId="1B76F53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Pre-2020 foundational source</w:t>
            </w:r>
          </w:p>
        </w:tc>
        <w:tc>
          <w:tcPr>
            <w:tcW w:w="2590" w:type="dxa"/>
            <w:tcMar>
              <w:top w:w="20" w:type="dxa"/>
              <w:left w:w="30" w:type="dxa"/>
              <w:bottom w:w="20" w:type="dxa"/>
              <w:right w:w="30" w:type="dxa"/>
            </w:tcMar>
            <w:vAlign w:val="center"/>
          </w:tcPr>
          <w:p w14:paraId="3DA9C1D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3B43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92D2171">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[13] </w:t>
            </w:r>
          </w:p>
        </w:tc>
        <w:tc>
          <w:tcPr>
            <w:tcW w:w="2590" w:type="dxa"/>
            <w:tcMar>
              <w:top w:w="20" w:type="dxa"/>
              <w:left w:w="30" w:type="dxa"/>
              <w:bottom w:w="20" w:type="dxa"/>
              <w:right w:w="30" w:type="dxa"/>
            </w:tcMar>
            <w:vAlign w:val="center"/>
          </w:tcPr>
          <w:p w14:paraId="5368E07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Cloud migration</w:t>
            </w:r>
          </w:p>
        </w:tc>
        <w:tc>
          <w:tcPr>
            <w:tcW w:w="2590" w:type="dxa"/>
            <w:tcMar>
              <w:top w:w="20" w:type="dxa"/>
              <w:left w:w="30" w:type="dxa"/>
              <w:bottom w:w="20" w:type="dxa"/>
              <w:right w:w="30" w:type="dxa"/>
            </w:tcMar>
            <w:vAlign w:val="center"/>
          </w:tcPr>
          <w:p w14:paraId="7978FFB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Cost-security decision model; Mathematical decision model</w:t>
            </w:r>
          </w:p>
        </w:tc>
        <w:tc>
          <w:tcPr>
            <w:tcW w:w="2590" w:type="dxa"/>
            <w:tcMar>
              <w:top w:w="20" w:type="dxa"/>
              <w:left w:w="30" w:type="dxa"/>
              <w:bottom w:w="20" w:type="dxa"/>
              <w:right w:w="30" w:type="dxa"/>
            </w:tcMar>
            <w:vAlign w:val="center"/>
          </w:tcPr>
          <w:p w14:paraId="31F7D7D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Provides structured security-risk evaluation</w:t>
            </w:r>
          </w:p>
        </w:tc>
        <w:tc>
          <w:tcPr>
            <w:tcW w:w="2590" w:type="dxa"/>
            <w:tcMar>
              <w:top w:w="20" w:type="dxa"/>
              <w:left w:w="30" w:type="dxa"/>
              <w:bottom w:w="20" w:type="dxa"/>
              <w:right w:w="30" w:type="dxa"/>
            </w:tcMar>
            <w:vAlign w:val="center"/>
          </w:tcPr>
          <w:p w14:paraId="0C1F44F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Pre-2020 and not LLM-specific</w:t>
            </w:r>
          </w:p>
        </w:tc>
        <w:tc>
          <w:tcPr>
            <w:tcW w:w="2590" w:type="dxa"/>
            <w:tcMar>
              <w:top w:w="20" w:type="dxa"/>
              <w:left w:w="30" w:type="dxa"/>
              <w:bottom w:w="20" w:type="dxa"/>
              <w:right w:w="30" w:type="dxa"/>
            </w:tcMar>
            <w:vAlign w:val="center"/>
          </w:tcPr>
          <w:p w14:paraId="26A5A1F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A</w:t>
            </w:r>
          </w:p>
        </w:tc>
      </w:tr>
      <w:tr w14:paraId="05E3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61C9F57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[14] </w:t>
            </w:r>
          </w:p>
        </w:tc>
        <w:tc>
          <w:tcPr>
            <w:tcW w:w="2590" w:type="dxa"/>
            <w:tcMar>
              <w:top w:w="20" w:type="dxa"/>
              <w:left w:w="30" w:type="dxa"/>
              <w:bottom w:w="20" w:type="dxa"/>
              <w:right w:w="30" w:type="dxa"/>
            </w:tcMar>
            <w:vAlign w:val="center"/>
          </w:tcPr>
          <w:p w14:paraId="1BDA49F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AI accountability</w:t>
            </w:r>
          </w:p>
        </w:tc>
        <w:tc>
          <w:tcPr>
            <w:tcW w:w="2590" w:type="dxa"/>
            <w:tcMar>
              <w:top w:w="20" w:type="dxa"/>
              <w:left w:w="30" w:type="dxa"/>
              <w:bottom w:w="20" w:type="dxa"/>
              <w:right w:w="30" w:type="dxa"/>
            </w:tcMar>
            <w:vAlign w:val="center"/>
          </w:tcPr>
          <w:p w14:paraId="2053847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Legal-theoretical analysis; Doctrinal analysis</w:t>
            </w:r>
          </w:p>
        </w:tc>
        <w:tc>
          <w:tcPr>
            <w:tcW w:w="2590" w:type="dxa"/>
            <w:tcMar>
              <w:top w:w="20" w:type="dxa"/>
              <w:left w:w="30" w:type="dxa"/>
              <w:bottom w:w="20" w:type="dxa"/>
              <w:right w:w="30" w:type="dxa"/>
            </w:tcMar>
            <w:vAlign w:val="center"/>
          </w:tcPr>
          <w:p w14:paraId="3F0E4C0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Develops accountability implications for AI systems</w:t>
            </w:r>
          </w:p>
        </w:tc>
        <w:tc>
          <w:tcPr>
            <w:tcW w:w="2590" w:type="dxa"/>
            <w:tcMar>
              <w:top w:w="20" w:type="dxa"/>
              <w:left w:w="30" w:type="dxa"/>
              <w:bottom w:w="20" w:type="dxa"/>
              <w:right w:w="30" w:type="dxa"/>
            </w:tcMar>
            <w:vAlign w:val="center"/>
          </w:tcPr>
          <w:p w14:paraId="2287B79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Pre-2020 foundational source</w:t>
            </w:r>
          </w:p>
        </w:tc>
        <w:tc>
          <w:tcPr>
            <w:tcW w:w="2590" w:type="dxa"/>
            <w:tcMar>
              <w:top w:w="20" w:type="dxa"/>
              <w:left w:w="30" w:type="dxa"/>
              <w:bottom w:w="20" w:type="dxa"/>
              <w:right w:w="30" w:type="dxa"/>
            </w:tcMar>
            <w:vAlign w:val="center"/>
          </w:tcPr>
          <w:p w14:paraId="4B9A9F7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175B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06D05646">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[15] </w:t>
            </w:r>
          </w:p>
        </w:tc>
        <w:tc>
          <w:tcPr>
            <w:tcW w:w="2590" w:type="dxa"/>
            <w:tcMar>
              <w:top w:w="20" w:type="dxa"/>
              <w:left w:w="30" w:type="dxa"/>
              <w:bottom w:w="20" w:type="dxa"/>
              <w:right w:w="30" w:type="dxa"/>
            </w:tcMar>
            <w:vAlign w:val="center"/>
          </w:tcPr>
          <w:p w14:paraId="018A7F2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 reasoning</w:t>
            </w:r>
          </w:p>
        </w:tc>
        <w:tc>
          <w:tcPr>
            <w:tcW w:w="2590" w:type="dxa"/>
            <w:tcMar>
              <w:top w:w="20" w:type="dxa"/>
              <w:left w:w="30" w:type="dxa"/>
              <w:bottom w:w="20" w:type="dxa"/>
              <w:right w:w="30" w:type="dxa"/>
            </w:tcMar>
            <w:vAlign w:val="center"/>
          </w:tcPr>
          <w:p w14:paraId="393BDFF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Agentar-Fin-R1 model paper; Model design and developer benchmarks</w:t>
            </w:r>
          </w:p>
        </w:tc>
        <w:tc>
          <w:tcPr>
            <w:tcW w:w="2590" w:type="dxa"/>
            <w:tcMar>
              <w:top w:w="20" w:type="dxa"/>
              <w:left w:w="30" w:type="dxa"/>
              <w:bottom w:w="20" w:type="dxa"/>
              <w:right w:w="30" w:type="dxa"/>
            </w:tcMar>
            <w:vAlign w:val="center"/>
          </w:tcPr>
          <w:p w14:paraId="490B765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Documents domain training, weighting, reasoning, and governance claims</w:t>
            </w:r>
          </w:p>
        </w:tc>
        <w:tc>
          <w:tcPr>
            <w:tcW w:w="2590" w:type="dxa"/>
            <w:tcMar>
              <w:top w:w="20" w:type="dxa"/>
              <w:left w:w="30" w:type="dxa"/>
              <w:bottom w:w="20" w:type="dxa"/>
              <w:right w:w="30" w:type="dxa"/>
            </w:tcMar>
            <w:vAlign w:val="center"/>
          </w:tcPr>
          <w:p w14:paraId="57C8858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Preprint and developer-reported; no independent production validation</w:t>
            </w:r>
          </w:p>
        </w:tc>
        <w:tc>
          <w:tcPr>
            <w:tcW w:w="2590" w:type="dxa"/>
            <w:tcMar>
              <w:top w:w="20" w:type="dxa"/>
              <w:left w:w="30" w:type="dxa"/>
              <w:bottom w:w="20" w:type="dxa"/>
              <w:right w:w="30" w:type="dxa"/>
            </w:tcMar>
            <w:vAlign w:val="center"/>
          </w:tcPr>
          <w:p w14:paraId="42B791A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design / B</w:t>
            </w:r>
          </w:p>
        </w:tc>
      </w:tr>
      <w:tr w14:paraId="62D4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250FCE6">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[18] </w:t>
            </w:r>
          </w:p>
        </w:tc>
        <w:tc>
          <w:tcPr>
            <w:tcW w:w="2590" w:type="dxa"/>
            <w:tcMar>
              <w:top w:w="20" w:type="dxa"/>
              <w:left w:w="30" w:type="dxa"/>
              <w:bottom w:w="20" w:type="dxa"/>
              <w:right w:w="30" w:type="dxa"/>
            </w:tcMar>
            <w:vAlign w:val="center"/>
          </w:tcPr>
          <w:p w14:paraId="4802C3F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High-stakes regulatory research</w:t>
            </w:r>
          </w:p>
        </w:tc>
        <w:tc>
          <w:tcPr>
            <w:tcW w:w="2590" w:type="dxa"/>
            <w:tcMar>
              <w:top w:w="20" w:type="dxa"/>
              <w:left w:w="30" w:type="dxa"/>
              <w:bottom w:w="20" w:type="dxa"/>
              <w:right w:w="30" w:type="dxa"/>
            </w:tcMar>
            <w:vAlign w:val="center"/>
          </w:tcPr>
          <w:p w14:paraId="2D25C93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Critical high-risk analysis; Conceptual and domain review</w:t>
            </w:r>
          </w:p>
        </w:tc>
        <w:tc>
          <w:tcPr>
            <w:tcW w:w="2590" w:type="dxa"/>
            <w:tcMar>
              <w:top w:w="20" w:type="dxa"/>
              <w:left w:w="30" w:type="dxa"/>
              <w:bottom w:w="20" w:type="dxa"/>
              <w:right w:w="30" w:type="dxa"/>
            </w:tcMar>
            <w:vAlign w:val="center"/>
          </w:tcPr>
          <w:p w14:paraId="1DA4B93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Questions overreliance on LLMs in high-stakes regulation</w:t>
            </w:r>
          </w:p>
        </w:tc>
        <w:tc>
          <w:tcPr>
            <w:tcW w:w="2590" w:type="dxa"/>
            <w:tcMar>
              <w:top w:w="20" w:type="dxa"/>
              <w:left w:w="30" w:type="dxa"/>
              <w:bottom w:w="20" w:type="dxa"/>
              <w:right w:w="30" w:type="dxa"/>
            </w:tcMar>
            <w:vAlign w:val="center"/>
          </w:tcPr>
          <w:p w14:paraId="536341D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Non-financial primary context</w:t>
            </w:r>
          </w:p>
        </w:tc>
        <w:tc>
          <w:tcPr>
            <w:tcW w:w="2590" w:type="dxa"/>
            <w:tcMar>
              <w:top w:w="20" w:type="dxa"/>
              <w:left w:w="30" w:type="dxa"/>
              <w:bottom w:w="20" w:type="dxa"/>
              <w:right w:w="30" w:type="dxa"/>
            </w:tcMar>
            <w:vAlign w:val="center"/>
          </w:tcPr>
          <w:p w14:paraId="21E17F1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78D6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0CFB42C0">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[19] </w:t>
            </w:r>
          </w:p>
        </w:tc>
        <w:tc>
          <w:tcPr>
            <w:tcW w:w="2590" w:type="dxa"/>
            <w:tcMar>
              <w:top w:w="20" w:type="dxa"/>
              <w:left w:w="30" w:type="dxa"/>
              <w:bottom w:w="20" w:type="dxa"/>
              <w:right w:w="30" w:type="dxa"/>
            </w:tcMar>
            <w:vAlign w:val="center"/>
          </w:tcPr>
          <w:p w14:paraId="1E3C84C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 LLM communication</w:t>
            </w:r>
          </w:p>
        </w:tc>
        <w:tc>
          <w:tcPr>
            <w:tcW w:w="2590" w:type="dxa"/>
            <w:tcMar>
              <w:top w:w="20" w:type="dxa"/>
              <w:left w:w="30" w:type="dxa"/>
              <w:bottom w:w="20" w:type="dxa"/>
              <w:right w:w="30" w:type="dxa"/>
            </w:tcMar>
            <w:vAlign w:val="center"/>
          </w:tcPr>
          <w:p w14:paraId="12BDEB7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Critical language-model analysis; Conceptual commentary</w:t>
            </w:r>
          </w:p>
        </w:tc>
        <w:tc>
          <w:tcPr>
            <w:tcW w:w="2590" w:type="dxa"/>
            <w:tcMar>
              <w:top w:w="20" w:type="dxa"/>
              <w:left w:w="30" w:type="dxa"/>
              <w:bottom w:w="20" w:type="dxa"/>
              <w:right w:w="30" w:type="dxa"/>
            </w:tcMar>
            <w:vAlign w:val="center"/>
          </w:tcPr>
          <w:p w14:paraId="1AFFA1D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Highlights fluent language and hidden assumptions</w:t>
            </w:r>
          </w:p>
        </w:tc>
        <w:tc>
          <w:tcPr>
            <w:tcW w:w="2590" w:type="dxa"/>
            <w:tcMar>
              <w:top w:w="20" w:type="dxa"/>
              <w:left w:w="30" w:type="dxa"/>
              <w:bottom w:w="20" w:type="dxa"/>
              <w:right w:w="30" w:type="dxa"/>
            </w:tcMar>
            <w:vAlign w:val="center"/>
          </w:tcPr>
          <w:p w14:paraId="5BF01B2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Conceptual evidence</w:t>
            </w:r>
          </w:p>
        </w:tc>
        <w:tc>
          <w:tcPr>
            <w:tcW w:w="2590" w:type="dxa"/>
            <w:tcMar>
              <w:top w:w="20" w:type="dxa"/>
              <w:left w:w="30" w:type="dxa"/>
              <w:bottom w:w="20" w:type="dxa"/>
              <w:right w:w="30" w:type="dxa"/>
            </w:tcMar>
            <w:vAlign w:val="center"/>
          </w:tcPr>
          <w:p w14:paraId="254F936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08D3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3730D0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[20] </w:t>
            </w:r>
          </w:p>
        </w:tc>
        <w:tc>
          <w:tcPr>
            <w:tcW w:w="2590" w:type="dxa"/>
            <w:tcMar>
              <w:top w:w="20" w:type="dxa"/>
              <w:left w:w="30" w:type="dxa"/>
              <w:bottom w:w="20" w:type="dxa"/>
              <w:right w:w="30" w:type="dxa"/>
            </w:tcMar>
            <w:vAlign w:val="center"/>
          </w:tcPr>
          <w:p w14:paraId="7FC8973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 regulatory texts</w:t>
            </w:r>
          </w:p>
        </w:tc>
        <w:tc>
          <w:tcPr>
            <w:tcW w:w="2590" w:type="dxa"/>
            <w:tcMar>
              <w:top w:w="20" w:type="dxa"/>
              <w:left w:w="30" w:type="dxa"/>
              <w:bottom w:w="20" w:type="dxa"/>
              <w:right w:w="30" w:type="dxa"/>
            </w:tcMar>
            <w:vAlign w:val="center"/>
          </w:tcPr>
          <w:p w14:paraId="4D5F187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reasoning evaluation; Regulatory-text tasks</w:t>
            </w:r>
          </w:p>
        </w:tc>
        <w:tc>
          <w:tcPr>
            <w:tcW w:w="2590" w:type="dxa"/>
            <w:tcMar>
              <w:top w:w="20" w:type="dxa"/>
              <w:left w:w="30" w:type="dxa"/>
              <w:bottom w:w="20" w:type="dxa"/>
              <w:right w:w="30" w:type="dxa"/>
            </w:tcMar>
            <w:vAlign w:val="center"/>
          </w:tcPr>
          <w:p w14:paraId="543A594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Assesses reasoning and explanation in financial regulation</w:t>
            </w:r>
          </w:p>
        </w:tc>
        <w:tc>
          <w:tcPr>
            <w:tcW w:w="2590" w:type="dxa"/>
            <w:tcMar>
              <w:top w:w="20" w:type="dxa"/>
              <w:left w:w="30" w:type="dxa"/>
              <w:bottom w:w="20" w:type="dxa"/>
              <w:right w:w="30" w:type="dxa"/>
            </w:tcMar>
            <w:vAlign w:val="center"/>
          </w:tcPr>
          <w:p w14:paraId="5D80070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Task-specific benchmark</w:t>
            </w:r>
          </w:p>
        </w:tc>
        <w:tc>
          <w:tcPr>
            <w:tcW w:w="2590" w:type="dxa"/>
            <w:tcMar>
              <w:top w:w="20" w:type="dxa"/>
              <w:left w:w="30" w:type="dxa"/>
              <w:bottom w:w="20" w:type="dxa"/>
              <w:right w:w="30" w:type="dxa"/>
            </w:tcMar>
            <w:vAlign w:val="center"/>
          </w:tcPr>
          <w:p w14:paraId="1399A82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A</w:t>
            </w:r>
          </w:p>
        </w:tc>
      </w:tr>
      <w:tr w14:paraId="3C35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B1FE680">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[21] </w:t>
            </w:r>
          </w:p>
        </w:tc>
        <w:tc>
          <w:tcPr>
            <w:tcW w:w="2590" w:type="dxa"/>
            <w:tcMar>
              <w:top w:w="20" w:type="dxa"/>
              <w:left w:w="30" w:type="dxa"/>
              <w:bottom w:w="20" w:type="dxa"/>
              <w:right w:w="30" w:type="dxa"/>
            </w:tcMar>
            <w:vAlign w:val="center"/>
          </w:tcPr>
          <w:p w14:paraId="51DA81E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Military decision support</w:t>
            </w:r>
          </w:p>
        </w:tc>
        <w:tc>
          <w:tcPr>
            <w:tcW w:w="2590" w:type="dxa"/>
            <w:tcMar>
              <w:top w:w="20" w:type="dxa"/>
              <w:left w:w="30" w:type="dxa"/>
              <w:bottom w:w="20" w:type="dxa"/>
              <w:right w:w="30" w:type="dxa"/>
            </w:tcMar>
            <w:vAlign w:val="center"/>
          </w:tcPr>
          <w:p w14:paraId="46B59C9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Trust-enhancement study; High-risk decision analysis</w:t>
            </w:r>
          </w:p>
        </w:tc>
        <w:tc>
          <w:tcPr>
            <w:tcW w:w="2590" w:type="dxa"/>
            <w:tcMar>
              <w:top w:w="20" w:type="dxa"/>
              <w:left w:w="30" w:type="dxa"/>
              <w:bottom w:w="20" w:type="dxa"/>
              <w:right w:w="30" w:type="dxa"/>
            </w:tcMar>
            <w:vAlign w:val="center"/>
          </w:tcPr>
          <w:p w14:paraId="4044E60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Provides transferable lessons on trust and oversight</w:t>
            </w:r>
          </w:p>
        </w:tc>
        <w:tc>
          <w:tcPr>
            <w:tcW w:w="2590" w:type="dxa"/>
            <w:tcMar>
              <w:top w:w="20" w:type="dxa"/>
              <w:left w:w="30" w:type="dxa"/>
              <w:bottom w:w="20" w:type="dxa"/>
              <w:right w:w="30" w:type="dxa"/>
            </w:tcMar>
            <w:vAlign w:val="center"/>
          </w:tcPr>
          <w:p w14:paraId="2E399BF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Non-financial domain</w:t>
            </w:r>
          </w:p>
        </w:tc>
        <w:tc>
          <w:tcPr>
            <w:tcW w:w="2590" w:type="dxa"/>
            <w:tcMar>
              <w:top w:w="20" w:type="dxa"/>
              <w:left w:w="30" w:type="dxa"/>
              <w:bottom w:w="20" w:type="dxa"/>
              <w:right w:w="30" w:type="dxa"/>
            </w:tcMar>
            <w:vAlign w:val="center"/>
          </w:tcPr>
          <w:p w14:paraId="732060F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B</w:t>
            </w:r>
          </w:p>
        </w:tc>
      </w:tr>
      <w:tr w14:paraId="6966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2647CA6">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[22] </w:t>
            </w:r>
          </w:p>
        </w:tc>
        <w:tc>
          <w:tcPr>
            <w:tcW w:w="2590" w:type="dxa"/>
            <w:tcMar>
              <w:top w:w="20" w:type="dxa"/>
              <w:left w:w="30" w:type="dxa"/>
              <w:bottom w:w="20" w:type="dxa"/>
              <w:right w:w="30" w:type="dxa"/>
            </w:tcMar>
            <w:vAlign w:val="center"/>
          </w:tcPr>
          <w:p w14:paraId="140ED36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Natural-language generation</w:t>
            </w:r>
          </w:p>
        </w:tc>
        <w:tc>
          <w:tcPr>
            <w:tcW w:w="2590" w:type="dxa"/>
            <w:tcMar>
              <w:top w:w="20" w:type="dxa"/>
              <w:left w:w="30" w:type="dxa"/>
              <w:bottom w:w="20" w:type="dxa"/>
              <w:right w:w="30" w:type="dxa"/>
            </w:tcMar>
            <w:vAlign w:val="center"/>
          </w:tcPr>
          <w:p w14:paraId="17D1143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Conceptual analysis of hallucination definitions; Taxonomic review</w:t>
            </w:r>
          </w:p>
        </w:tc>
        <w:tc>
          <w:tcPr>
            <w:tcW w:w="2590" w:type="dxa"/>
            <w:tcMar>
              <w:top w:w="20" w:type="dxa"/>
              <w:left w:w="30" w:type="dxa"/>
              <w:bottom w:w="20" w:type="dxa"/>
              <w:right w:w="30" w:type="dxa"/>
            </w:tcMar>
            <w:vAlign w:val="center"/>
          </w:tcPr>
          <w:p w14:paraId="4B01A79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Clarifies factual inconsistency, unsupported inference, and omission</w:t>
            </w:r>
          </w:p>
        </w:tc>
        <w:tc>
          <w:tcPr>
            <w:tcW w:w="2590" w:type="dxa"/>
            <w:tcMar>
              <w:top w:w="20" w:type="dxa"/>
              <w:left w:w="30" w:type="dxa"/>
              <w:bottom w:w="20" w:type="dxa"/>
              <w:right w:w="30" w:type="dxa"/>
            </w:tcMar>
            <w:vAlign w:val="center"/>
          </w:tcPr>
          <w:p w14:paraId="1986763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Definition-focused</w:t>
            </w:r>
          </w:p>
        </w:tc>
        <w:tc>
          <w:tcPr>
            <w:tcW w:w="2590" w:type="dxa"/>
            <w:tcMar>
              <w:top w:w="20" w:type="dxa"/>
              <w:left w:w="30" w:type="dxa"/>
              <w:bottom w:w="20" w:type="dxa"/>
              <w:right w:w="30" w:type="dxa"/>
            </w:tcMar>
            <w:vAlign w:val="center"/>
          </w:tcPr>
          <w:p w14:paraId="5671DE3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C</w:t>
            </w:r>
          </w:p>
        </w:tc>
      </w:tr>
      <w:tr w14:paraId="5CD2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8D44D33">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[23] </w:t>
            </w:r>
          </w:p>
        </w:tc>
        <w:tc>
          <w:tcPr>
            <w:tcW w:w="2590" w:type="dxa"/>
            <w:tcMar>
              <w:top w:w="20" w:type="dxa"/>
              <w:left w:w="30" w:type="dxa"/>
              <w:bottom w:w="20" w:type="dxa"/>
              <w:right w:w="30" w:type="dxa"/>
            </w:tcMar>
            <w:vAlign w:val="center"/>
          </w:tcPr>
          <w:p w14:paraId="73A268D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Legal reasoning</w:t>
            </w:r>
          </w:p>
        </w:tc>
        <w:tc>
          <w:tcPr>
            <w:tcW w:w="2590" w:type="dxa"/>
            <w:tcMar>
              <w:top w:w="20" w:type="dxa"/>
              <w:left w:w="30" w:type="dxa"/>
              <w:bottom w:w="20" w:type="dxa"/>
              <w:right w:w="30" w:type="dxa"/>
            </w:tcMar>
            <w:vAlign w:val="center"/>
          </w:tcPr>
          <w:p w14:paraId="389C7BE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benchmark; Legal task dataset and model testing</w:t>
            </w:r>
          </w:p>
        </w:tc>
        <w:tc>
          <w:tcPr>
            <w:tcW w:w="2590" w:type="dxa"/>
            <w:tcMar>
              <w:top w:w="20" w:type="dxa"/>
              <w:left w:w="30" w:type="dxa"/>
              <w:bottom w:w="20" w:type="dxa"/>
              <w:right w:w="30" w:type="dxa"/>
            </w:tcMar>
            <w:vAlign w:val="center"/>
          </w:tcPr>
          <w:p w14:paraId="664A6CE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Documents hallucination rates and poor self-detection</w:t>
            </w:r>
          </w:p>
        </w:tc>
        <w:tc>
          <w:tcPr>
            <w:tcW w:w="2590" w:type="dxa"/>
            <w:tcMar>
              <w:top w:w="20" w:type="dxa"/>
              <w:left w:w="30" w:type="dxa"/>
              <w:bottom w:w="20" w:type="dxa"/>
              <w:right w:w="30" w:type="dxa"/>
            </w:tcMar>
            <w:vAlign w:val="center"/>
          </w:tcPr>
          <w:p w14:paraId="5040391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Legal domain; finance relevance is transferable</w:t>
            </w:r>
          </w:p>
        </w:tc>
        <w:tc>
          <w:tcPr>
            <w:tcW w:w="2590" w:type="dxa"/>
            <w:tcMar>
              <w:top w:w="20" w:type="dxa"/>
              <w:left w:w="30" w:type="dxa"/>
              <w:bottom w:w="20" w:type="dxa"/>
              <w:right w:w="30" w:type="dxa"/>
            </w:tcMar>
            <w:vAlign w:val="center"/>
          </w:tcPr>
          <w:p w14:paraId="4ADB5ED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A</w:t>
            </w:r>
          </w:p>
        </w:tc>
      </w:tr>
      <w:tr w14:paraId="38C4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DC9727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[24] </w:t>
            </w:r>
          </w:p>
        </w:tc>
        <w:tc>
          <w:tcPr>
            <w:tcW w:w="2590" w:type="dxa"/>
            <w:tcMar>
              <w:top w:w="20" w:type="dxa"/>
              <w:left w:w="30" w:type="dxa"/>
              <w:bottom w:w="20" w:type="dxa"/>
              <w:right w:w="30" w:type="dxa"/>
            </w:tcMar>
            <w:vAlign w:val="center"/>
          </w:tcPr>
          <w:p w14:paraId="5438EF0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uncertainty</w:t>
            </w:r>
          </w:p>
        </w:tc>
        <w:tc>
          <w:tcPr>
            <w:tcW w:w="2590" w:type="dxa"/>
            <w:tcMar>
              <w:top w:w="20" w:type="dxa"/>
              <w:left w:w="30" w:type="dxa"/>
              <w:bottom w:w="20" w:type="dxa"/>
              <w:right w:w="30" w:type="dxa"/>
            </w:tcMar>
            <w:vAlign w:val="center"/>
          </w:tcPr>
          <w:p w14:paraId="273701C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Uncertainty-quantification benchmark; LM-Polygraph benchmark</w:t>
            </w:r>
          </w:p>
        </w:tc>
        <w:tc>
          <w:tcPr>
            <w:tcW w:w="2590" w:type="dxa"/>
            <w:tcMar>
              <w:top w:w="20" w:type="dxa"/>
              <w:left w:w="30" w:type="dxa"/>
              <w:bottom w:w="20" w:type="dxa"/>
              <w:right w:w="30" w:type="dxa"/>
            </w:tcMar>
            <w:vAlign w:val="center"/>
          </w:tcPr>
          <w:p w14:paraId="044B795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Compares confidence and uncertainty methods</w:t>
            </w:r>
          </w:p>
        </w:tc>
        <w:tc>
          <w:tcPr>
            <w:tcW w:w="2590" w:type="dxa"/>
            <w:tcMar>
              <w:top w:w="20" w:type="dxa"/>
              <w:left w:w="30" w:type="dxa"/>
              <w:bottom w:w="20" w:type="dxa"/>
              <w:right w:w="30" w:type="dxa"/>
            </w:tcMar>
            <w:vAlign w:val="center"/>
          </w:tcPr>
          <w:p w14:paraId="5E7B073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Benchmark-specific</w:t>
            </w:r>
          </w:p>
        </w:tc>
        <w:tc>
          <w:tcPr>
            <w:tcW w:w="2590" w:type="dxa"/>
            <w:tcMar>
              <w:top w:w="20" w:type="dxa"/>
              <w:left w:w="30" w:type="dxa"/>
              <w:bottom w:w="20" w:type="dxa"/>
              <w:right w:w="30" w:type="dxa"/>
            </w:tcMar>
            <w:vAlign w:val="center"/>
          </w:tcPr>
          <w:p w14:paraId="30D00E6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A</w:t>
            </w:r>
          </w:p>
        </w:tc>
      </w:tr>
      <w:tr w14:paraId="3366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6FA6045A">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[25] </w:t>
            </w:r>
          </w:p>
        </w:tc>
        <w:tc>
          <w:tcPr>
            <w:tcW w:w="2590" w:type="dxa"/>
            <w:tcMar>
              <w:top w:w="20" w:type="dxa"/>
              <w:left w:w="30" w:type="dxa"/>
              <w:bottom w:w="20" w:type="dxa"/>
              <w:right w:w="30" w:type="dxa"/>
            </w:tcMar>
            <w:vAlign w:val="center"/>
          </w:tcPr>
          <w:p w14:paraId="4F01D80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Automatic correction</w:t>
            </w:r>
          </w:p>
        </w:tc>
        <w:tc>
          <w:tcPr>
            <w:tcW w:w="2590" w:type="dxa"/>
            <w:tcMar>
              <w:top w:w="20" w:type="dxa"/>
              <w:left w:w="30" w:type="dxa"/>
              <w:bottom w:w="20" w:type="dxa"/>
              <w:right w:w="30" w:type="dxa"/>
            </w:tcMar>
            <w:vAlign w:val="center"/>
          </w:tcPr>
          <w:p w14:paraId="14C9243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Survey of correction strategies; Literature synthesis</w:t>
            </w:r>
          </w:p>
        </w:tc>
        <w:tc>
          <w:tcPr>
            <w:tcW w:w="2590" w:type="dxa"/>
            <w:tcMar>
              <w:top w:w="20" w:type="dxa"/>
              <w:left w:w="30" w:type="dxa"/>
              <w:bottom w:w="20" w:type="dxa"/>
              <w:right w:w="30" w:type="dxa"/>
            </w:tcMar>
            <w:vAlign w:val="center"/>
          </w:tcPr>
          <w:p w14:paraId="03800BA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Catalogues feedback-based correction methods</w:t>
            </w:r>
          </w:p>
        </w:tc>
        <w:tc>
          <w:tcPr>
            <w:tcW w:w="2590" w:type="dxa"/>
            <w:tcMar>
              <w:top w:w="20" w:type="dxa"/>
              <w:left w:w="30" w:type="dxa"/>
              <w:bottom w:w="20" w:type="dxa"/>
              <w:right w:w="30" w:type="dxa"/>
            </w:tcMar>
            <w:vAlign w:val="center"/>
          </w:tcPr>
          <w:p w14:paraId="624B06A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evidence</w:t>
            </w:r>
          </w:p>
        </w:tc>
        <w:tc>
          <w:tcPr>
            <w:tcW w:w="2590" w:type="dxa"/>
            <w:tcMar>
              <w:top w:w="20" w:type="dxa"/>
              <w:left w:w="30" w:type="dxa"/>
              <w:bottom w:w="20" w:type="dxa"/>
              <w:right w:w="30" w:type="dxa"/>
            </w:tcMar>
            <w:vAlign w:val="center"/>
          </w:tcPr>
          <w:p w14:paraId="734B862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C</w:t>
            </w:r>
          </w:p>
        </w:tc>
      </w:tr>
      <w:tr w14:paraId="0448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0FB97E69">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[26] </w:t>
            </w:r>
          </w:p>
        </w:tc>
        <w:tc>
          <w:tcPr>
            <w:tcW w:w="2590" w:type="dxa"/>
            <w:tcMar>
              <w:top w:w="20" w:type="dxa"/>
              <w:left w:w="30" w:type="dxa"/>
              <w:bottom w:w="20" w:type="dxa"/>
              <w:right w:w="30" w:type="dxa"/>
            </w:tcMar>
            <w:vAlign w:val="center"/>
          </w:tcPr>
          <w:p w14:paraId="5A3347D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LLMs</w:t>
            </w:r>
          </w:p>
        </w:tc>
        <w:tc>
          <w:tcPr>
            <w:tcW w:w="2590" w:type="dxa"/>
            <w:tcMar>
              <w:top w:w="20" w:type="dxa"/>
              <w:left w:w="30" w:type="dxa"/>
              <w:bottom w:w="20" w:type="dxa"/>
              <w:right w:w="30" w:type="dxa"/>
            </w:tcMar>
            <w:vAlign w:val="center"/>
          </w:tcPr>
          <w:p w14:paraId="7C57670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Comprehensive MLLM survey; Literature synthesis</w:t>
            </w:r>
          </w:p>
        </w:tc>
        <w:tc>
          <w:tcPr>
            <w:tcW w:w="2590" w:type="dxa"/>
            <w:tcMar>
              <w:top w:w="20" w:type="dxa"/>
              <w:left w:w="30" w:type="dxa"/>
              <w:bottom w:w="20" w:type="dxa"/>
              <w:right w:w="30" w:type="dxa"/>
            </w:tcMar>
            <w:vAlign w:val="center"/>
          </w:tcPr>
          <w:p w14:paraId="40178D2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Summarizes architecture, training, and evaluation challenges</w:t>
            </w:r>
          </w:p>
        </w:tc>
        <w:tc>
          <w:tcPr>
            <w:tcW w:w="2590" w:type="dxa"/>
            <w:tcMar>
              <w:top w:w="20" w:type="dxa"/>
              <w:left w:w="30" w:type="dxa"/>
              <w:bottom w:w="20" w:type="dxa"/>
              <w:right w:w="30" w:type="dxa"/>
            </w:tcMar>
            <w:vAlign w:val="center"/>
          </w:tcPr>
          <w:p w14:paraId="628EA0F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evidence</w:t>
            </w:r>
          </w:p>
        </w:tc>
        <w:tc>
          <w:tcPr>
            <w:tcW w:w="2590" w:type="dxa"/>
            <w:tcMar>
              <w:top w:w="20" w:type="dxa"/>
              <w:left w:w="30" w:type="dxa"/>
              <w:bottom w:w="20" w:type="dxa"/>
              <w:right w:w="30" w:type="dxa"/>
            </w:tcMar>
            <w:vAlign w:val="center"/>
          </w:tcPr>
          <w:p w14:paraId="14C27D2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185D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AB1DA4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[27] </w:t>
            </w:r>
          </w:p>
        </w:tc>
        <w:tc>
          <w:tcPr>
            <w:tcW w:w="2590" w:type="dxa"/>
            <w:tcMar>
              <w:top w:w="20" w:type="dxa"/>
              <w:left w:w="30" w:type="dxa"/>
              <w:bottom w:w="20" w:type="dxa"/>
              <w:right w:w="30" w:type="dxa"/>
            </w:tcMar>
            <w:vAlign w:val="center"/>
          </w:tcPr>
          <w:p w14:paraId="1410C8C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Vision-language scientific reasoning</w:t>
            </w:r>
          </w:p>
        </w:tc>
        <w:tc>
          <w:tcPr>
            <w:tcW w:w="2590" w:type="dxa"/>
            <w:tcMar>
              <w:top w:w="20" w:type="dxa"/>
              <w:left w:w="30" w:type="dxa"/>
              <w:bottom w:w="20" w:type="dxa"/>
              <w:right w:w="30" w:type="dxa"/>
            </w:tcMar>
            <w:vAlign w:val="center"/>
          </w:tcPr>
          <w:p w14:paraId="62F2C65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Perspective on benchmark evidence; Commentary on empirical results</w:t>
            </w:r>
          </w:p>
        </w:tc>
        <w:tc>
          <w:tcPr>
            <w:tcW w:w="2590" w:type="dxa"/>
            <w:tcMar>
              <w:top w:w="20" w:type="dxa"/>
              <w:left w:w="30" w:type="dxa"/>
              <w:bottom w:w="20" w:type="dxa"/>
              <w:right w:w="30" w:type="dxa"/>
            </w:tcMar>
            <w:vAlign w:val="center"/>
          </w:tcPr>
          <w:p w14:paraId="16B0E2B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Distinguishes perception strength from reasoning weakness</w:t>
            </w:r>
          </w:p>
        </w:tc>
        <w:tc>
          <w:tcPr>
            <w:tcW w:w="2590" w:type="dxa"/>
            <w:tcMar>
              <w:top w:w="20" w:type="dxa"/>
              <w:left w:w="30" w:type="dxa"/>
              <w:bottom w:w="20" w:type="dxa"/>
              <w:right w:w="30" w:type="dxa"/>
            </w:tcMar>
            <w:vAlign w:val="center"/>
          </w:tcPr>
          <w:p w14:paraId="1AF61C7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Brief perspective</w:t>
            </w:r>
          </w:p>
        </w:tc>
        <w:tc>
          <w:tcPr>
            <w:tcW w:w="2590" w:type="dxa"/>
            <w:tcMar>
              <w:top w:w="20" w:type="dxa"/>
              <w:left w:w="30" w:type="dxa"/>
              <w:bottom w:w="20" w:type="dxa"/>
              <w:right w:w="30" w:type="dxa"/>
            </w:tcMar>
            <w:vAlign w:val="center"/>
          </w:tcPr>
          <w:p w14:paraId="6EADB0A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57D5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67BF5591">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[28] </w:t>
            </w:r>
          </w:p>
        </w:tc>
        <w:tc>
          <w:tcPr>
            <w:tcW w:w="2590" w:type="dxa"/>
            <w:tcMar>
              <w:top w:w="20" w:type="dxa"/>
              <w:left w:w="30" w:type="dxa"/>
              <w:bottom w:w="20" w:type="dxa"/>
              <w:right w:w="30" w:type="dxa"/>
            </w:tcMar>
            <w:vAlign w:val="center"/>
          </w:tcPr>
          <w:p w14:paraId="32429B3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Vision-language models</w:t>
            </w:r>
          </w:p>
        </w:tc>
        <w:tc>
          <w:tcPr>
            <w:tcW w:w="2590" w:type="dxa"/>
            <w:tcMar>
              <w:top w:w="20" w:type="dxa"/>
              <w:left w:w="30" w:type="dxa"/>
              <w:bottom w:w="20" w:type="dxa"/>
              <w:right w:w="30" w:type="dxa"/>
            </w:tcMar>
            <w:vAlign w:val="center"/>
          </w:tcPr>
          <w:p w14:paraId="4048F99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TinyLVLM-eHub benchmark; Multi-dimensional benchmark</w:t>
            </w:r>
          </w:p>
        </w:tc>
        <w:tc>
          <w:tcPr>
            <w:tcW w:w="2590" w:type="dxa"/>
            <w:tcMar>
              <w:top w:w="20" w:type="dxa"/>
              <w:left w:w="30" w:type="dxa"/>
              <w:bottom w:w="20" w:type="dxa"/>
              <w:right w:w="30" w:type="dxa"/>
            </w:tcMar>
            <w:vAlign w:val="center"/>
          </w:tcPr>
          <w:p w14:paraId="4A9B548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Evaluates perception, knowledge, reasoning, and hallucination</w:t>
            </w:r>
          </w:p>
        </w:tc>
        <w:tc>
          <w:tcPr>
            <w:tcW w:w="2590" w:type="dxa"/>
            <w:tcMar>
              <w:top w:w="20" w:type="dxa"/>
              <w:left w:w="30" w:type="dxa"/>
              <w:bottom w:w="20" w:type="dxa"/>
              <w:right w:w="30" w:type="dxa"/>
            </w:tcMar>
            <w:vAlign w:val="center"/>
          </w:tcPr>
          <w:p w14:paraId="44063D2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Not finance-specific</w:t>
            </w:r>
          </w:p>
        </w:tc>
        <w:tc>
          <w:tcPr>
            <w:tcW w:w="2590" w:type="dxa"/>
            <w:tcMar>
              <w:top w:w="20" w:type="dxa"/>
              <w:left w:w="30" w:type="dxa"/>
              <w:bottom w:w="20" w:type="dxa"/>
              <w:right w:w="30" w:type="dxa"/>
            </w:tcMar>
            <w:vAlign w:val="center"/>
          </w:tcPr>
          <w:p w14:paraId="3E65861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A</w:t>
            </w:r>
          </w:p>
        </w:tc>
      </w:tr>
      <w:tr w14:paraId="6A69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7254FD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[29] </w:t>
            </w:r>
          </w:p>
        </w:tc>
        <w:tc>
          <w:tcPr>
            <w:tcW w:w="2590" w:type="dxa"/>
            <w:tcMar>
              <w:top w:w="20" w:type="dxa"/>
              <w:left w:w="30" w:type="dxa"/>
              <w:bottom w:w="20" w:type="dxa"/>
              <w:right w:w="30" w:type="dxa"/>
            </w:tcMar>
            <w:vAlign w:val="center"/>
          </w:tcPr>
          <w:p w14:paraId="5D74518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Vision-language explanation</w:t>
            </w:r>
          </w:p>
        </w:tc>
        <w:tc>
          <w:tcPr>
            <w:tcW w:w="2590" w:type="dxa"/>
            <w:tcMar>
              <w:top w:w="20" w:type="dxa"/>
              <w:left w:w="30" w:type="dxa"/>
              <w:bottom w:w="20" w:type="dxa"/>
              <w:right w:w="30" w:type="dxa"/>
            </w:tcMar>
            <w:vAlign w:val="center"/>
          </w:tcPr>
          <w:p w14:paraId="526990B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Neural-logic explainer; Model development and benchmark</w:t>
            </w:r>
          </w:p>
        </w:tc>
        <w:tc>
          <w:tcPr>
            <w:tcW w:w="2590" w:type="dxa"/>
            <w:tcMar>
              <w:top w:w="20" w:type="dxa"/>
              <w:left w:w="30" w:type="dxa"/>
              <w:bottom w:w="20" w:type="dxa"/>
              <w:right w:w="30" w:type="dxa"/>
            </w:tcMar>
            <w:vAlign w:val="center"/>
          </w:tcPr>
          <w:p w14:paraId="36E2D94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rule-oriented explanation approach</w:t>
            </w:r>
          </w:p>
        </w:tc>
        <w:tc>
          <w:tcPr>
            <w:tcW w:w="2590" w:type="dxa"/>
            <w:tcMar>
              <w:top w:w="20" w:type="dxa"/>
              <w:left w:w="30" w:type="dxa"/>
              <w:bottom w:w="20" w:type="dxa"/>
              <w:right w:w="30" w:type="dxa"/>
            </w:tcMar>
            <w:vAlign w:val="center"/>
          </w:tcPr>
          <w:p w14:paraId="37B5AC1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Early-stage method; not finance-specific</w:t>
            </w:r>
          </w:p>
        </w:tc>
        <w:tc>
          <w:tcPr>
            <w:tcW w:w="2590" w:type="dxa"/>
            <w:tcMar>
              <w:top w:w="20" w:type="dxa"/>
              <w:left w:w="30" w:type="dxa"/>
              <w:bottom w:w="20" w:type="dxa"/>
              <w:right w:w="30" w:type="dxa"/>
            </w:tcMar>
            <w:vAlign w:val="center"/>
          </w:tcPr>
          <w:p w14:paraId="4F96E20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XAI / A</w:t>
            </w:r>
          </w:p>
        </w:tc>
      </w:tr>
      <w:tr w14:paraId="3695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6D24F603">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[30] </w:t>
            </w:r>
          </w:p>
        </w:tc>
        <w:tc>
          <w:tcPr>
            <w:tcW w:w="2590" w:type="dxa"/>
            <w:tcMar>
              <w:top w:w="20" w:type="dxa"/>
              <w:left w:w="30" w:type="dxa"/>
              <w:bottom w:w="20" w:type="dxa"/>
              <w:right w:w="30" w:type="dxa"/>
            </w:tcMar>
            <w:vAlign w:val="center"/>
          </w:tcPr>
          <w:p w14:paraId="3DFEC5A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Black-box foundation models</w:t>
            </w:r>
          </w:p>
        </w:tc>
        <w:tc>
          <w:tcPr>
            <w:tcW w:w="2590" w:type="dxa"/>
            <w:tcMar>
              <w:top w:w="20" w:type="dxa"/>
              <w:left w:w="30" w:type="dxa"/>
              <w:bottom w:w="20" w:type="dxa"/>
              <w:right w:w="30" w:type="dxa"/>
            </w:tcMar>
            <w:vAlign w:val="center"/>
          </w:tcPr>
          <w:p w14:paraId="71F26FF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Security-risk taxonomy; Risk analysis</w:t>
            </w:r>
          </w:p>
        </w:tc>
        <w:tc>
          <w:tcPr>
            <w:tcW w:w="2590" w:type="dxa"/>
            <w:tcMar>
              <w:top w:w="20" w:type="dxa"/>
              <w:left w:w="30" w:type="dxa"/>
              <w:bottom w:w="20" w:type="dxa"/>
              <w:right w:w="30" w:type="dxa"/>
            </w:tcMar>
            <w:vAlign w:val="center"/>
          </w:tcPr>
          <w:p w14:paraId="7CBE22B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Identifies security risks relevant to deployment</w:t>
            </w:r>
          </w:p>
        </w:tc>
        <w:tc>
          <w:tcPr>
            <w:tcW w:w="2590" w:type="dxa"/>
            <w:tcMar>
              <w:top w:w="20" w:type="dxa"/>
              <w:left w:w="30" w:type="dxa"/>
              <w:bottom w:w="20" w:type="dxa"/>
              <w:right w:w="30" w:type="dxa"/>
            </w:tcMar>
            <w:vAlign w:val="center"/>
          </w:tcPr>
          <w:p w14:paraId="25465AC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Conceptual taxonomy</w:t>
            </w:r>
          </w:p>
        </w:tc>
        <w:tc>
          <w:tcPr>
            <w:tcW w:w="2590" w:type="dxa"/>
            <w:tcMar>
              <w:top w:w="20" w:type="dxa"/>
              <w:left w:w="30" w:type="dxa"/>
              <w:bottom w:w="20" w:type="dxa"/>
              <w:right w:w="30" w:type="dxa"/>
            </w:tcMar>
            <w:vAlign w:val="center"/>
          </w:tcPr>
          <w:p w14:paraId="1715B38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4F6B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3081AE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[31] </w:t>
            </w:r>
          </w:p>
        </w:tc>
        <w:tc>
          <w:tcPr>
            <w:tcW w:w="2590" w:type="dxa"/>
            <w:tcMar>
              <w:top w:w="20" w:type="dxa"/>
              <w:left w:w="30" w:type="dxa"/>
              <w:bottom w:w="20" w:type="dxa"/>
              <w:right w:w="30" w:type="dxa"/>
            </w:tcMar>
            <w:vAlign w:val="center"/>
          </w:tcPr>
          <w:p w14:paraId="58FDC96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Foundation-model era</w:t>
            </w:r>
          </w:p>
        </w:tc>
        <w:tc>
          <w:tcPr>
            <w:tcW w:w="2590" w:type="dxa"/>
            <w:tcMar>
              <w:top w:w="20" w:type="dxa"/>
              <w:left w:w="30" w:type="dxa"/>
              <w:bottom w:w="20" w:type="dxa"/>
              <w:right w:w="30" w:type="dxa"/>
            </w:tcMar>
            <w:vAlign w:val="center"/>
          </w:tcPr>
          <w:p w14:paraId="1B24E71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Trustworthy machine-learning analysis; Conceptual synthesis</w:t>
            </w:r>
          </w:p>
        </w:tc>
        <w:tc>
          <w:tcPr>
            <w:tcW w:w="2590" w:type="dxa"/>
            <w:tcMar>
              <w:top w:w="20" w:type="dxa"/>
              <w:left w:w="30" w:type="dxa"/>
              <w:bottom w:w="20" w:type="dxa"/>
              <w:right w:w="30" w:type="dxa"/>
            </w:tcMar>
            <w:vAlign w:val="center"/>
          </w:tcPr>
          <w:p w14:paraId="71C303D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Frames trustworthiness under foundation models</w:t>
            </w:r>
          </w:p>
        </w:tc>
        <w:tc>
          <w:tcPr>
            <w:tcW w:w="2590" w:type="dxa"/>
            <w:tcMar>
              <w:top w:w="20" w:type="dxa"/>
              <w:left w:w="30" w:type="dxa"/>
              <w:bottom w:w="20" w:type="dxa"/>
              <w:right w:w="30" w:type="dxa"/>
            </w:tcMar>
            <w:vAlign w:val="center"/>
          </w:tcPr>
          <w:p w14:paraId="617689A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High-level analysis</w:t>
            </w:r>
          </w:p>
        </w:tc>
        <w:tc>
          <w:tcPr>
            <w:tcW w:w="2590" w:type="dxa"/>
            <w:tcMar>
              <w:top w:w="20" w:type="dxa"/>
              <w:left w:w="30" w:type="dxa"/>
              <w:bottom w:w="20" w:type="dxa"/>
              <w:right w:w="30" w:type="dxa"/>
            </w:tcMar>
            <w:vAlign w:val="center"/>
          </w:tcPr>
          <w:p w14:paraId="1B8B709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39C5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7787322">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[32] </w:t>
            </w:r>
          </w:p>
        </w:tc>
        <w:tc>
          <w:tcPr>
            <w:tcW w:w="2590" w:type="dxa"/>
            <w:tcMar>
              <w:top w:w="20" w:type="dxa"/>
              <w:left w:w="30" w:type="dxa"/>
              <w:bottom w:w="20" w:type="dxa"/>
              <w:right w:w="30" w:type="dxa"/>
            </w:tcMar>
            <w:vAlign w:val="center"/>
          </w:tcPr>
          <w:p w14:paraId="62E5D7F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explainability</w:t>
            </w:r>
          </w:p>
        </w:tc>
        <w:tc>
          <w:tcPr>
            <w:tcW w:w="2590" w:type="dxa"/>
            <w:tcMar>
              <w:top w:w="20" w:type="dxa"/>
              <w:left w:w="30" w:type="dxa"/>
              <w:bottom w:w="20" w:type="dxa"/>
              <w:right w:w="30" w:type="dxa"/>
            </w:tcMar>
            <w:vAlign w:val="center"/>
          </w:tcPr>
          <w:p w14:paraId="269BC97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Systematic survey; Taxonomy of methods and goals</w:t>
            </w:r>
          </w:p>
        </w:tc>
        <w:tc>
          <w:tcPr>
            <w:tcW w:w="2590" w:type="dxa"/>
            <w:tcMar>
              <w:top w:w="20" w:type="dxa"/>
              <w:left w:w="30" w:type="dxa"/>
              <w:bottom w:w="20" w:type="dxa"/>
              <w:right w:w="30" w:type="dxa"/>
            </w:tcMar>
            <w:vAlign w:val="center"/>
          </w:tcPr>
          <w:p w14:paraId="418CE22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Defines explanation functions and methods</w:t>
            </w:r>
          </w:p>
        </w:tc>
        <w:tc>
          <w:tcPr>
            <w:tcW w:w="2590" w:type="dxa"/>
            <w:tcMar>
              <w:top w:w="20" w:type="dxa"/>
              <w:left w:w="30" w:type="dxa"/>
              <w:bottom w:w="20" w:type="dxa"/>
              <w:right w:w="30" w:type="dxa"/>
            </w:tcMar>
            <w:vAlign w:val="center"/>
          </w:tcPr>
          <w:p w14:paraId="54CCB8A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Survey; regulatory auditability not directly tested</w:t>
            </w:r>
          </w:p>
        </w:tc>
        <w:tc>
          <w:tcPr>
            <w:tcW w:w="2590" w:type="dxa"/>
            <w:tcMar>
              <w:top w:w="20" w:type="dxa"/>
              <w:left w:w="30" w:type="dxa"/>
              <w:bottom w:w="20" w:type="dxa"/>
              <w:right w:w="30" w:type="dxa"/>
            </w:tcMar>
            <w:vAlign w:val="center"/>
          </w:tcPr>
          <w:p w14:paraId="4CD59BC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XAI / C</w:t>
            </w:r>
          </w:p>
        </w:tc>
      </w:tr>
      <w:tr w14:paraId="3197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684BF353">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[33] </w:t>
            </w:r>
          </w:p>
        </w:tc>
        <w:tc>
          <w:tcPr>
            <w:tcW w:w="2590" w:type="dxa"/>
            <w:tcMar>
              <w:top w:w="20" w:type="dxa"/>
              <w:left w:w="30" w:type="dxa"/>
              <w:bottom w:w="20" w:type="dxa"/>
              <w:right w:w="30" w:type="dxa"/>
            </w:tcMar>
            <w:vAlign w:val="center"/>
          </w:tcPr>
          <w:p w14:paraId="44C29D2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Foundation models and visualization</w:t>
            </w:r>
          </w:p>
        </w:tc>
        <w:tc>
          <w:tcPr>
            <w:tcW w:w="2590" w:type="dxa"/>
            <w:tcMar>
              <w:top w:w="20" w:type="dxa"/>
              <w:left w:w="30" w:type="dxa"/>
              <w:bottom w:w="20" w:type="dxa"/>
              <w:right w:w="30" w:type="dxa"/>
            </w:tcMar>
            <w:vAlign w:val="center"/>
          </w:tcPr>
          <w:p w14:paraId="7912DCF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Review and research agenda; Literature synthesis</w:t>
            </w:r>
          </w:p>
        </w:tc>
        <w:tc>
          <w:tcPr>
            <w:tcW w:w="2590" w:type="dxa"/>
            <w:tcMar>
              <w:top w:w="20" w:type="dxa"/>
              <w:left w:w="30" w:type="dxa"/>
              <w:bottom w:w="20" w:type="dxa"/>
              <w:right w:w="30" w:type="dxa"/>
            </w:tcMar>
            <w:vAlign w:val="center"/>
          </w:tcPr>
          <w:p w14:paraId="63B4EC9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Links visualization to transparency, fairness, and robustness</w:t>
            </w:r>
          </w:p>
        </w:tc>
        <w:tc>
          <w:tcPr>
            <w:tcW w:w="2590" w:type="dxa"/>
            <w:tcMar>
              <w:top w:w="20" w:type="dxa"/>
              <w:left w:w="30" w:type="dxa"/>
              <w:bottom w:w="20" w:type="dxa"/>
              <w:right w:w="30" w:type="dxa"/>
            </w:tcMar>
            <w:vAlign w:val="center"/>
          </w:tcPr>
          <w:p w14:paraId="2EE5417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 foundation-model context</w:t>
            </w:r>
          </w:p>
        </w:tc>
        <w:tc>
          <w:tcPr>
            <w:tcW w:w="2590" w:type="dxa"/>
            <w:tcMar>
              <w:top w:w="20" w:type="dxa"/>
              <w:left w:w="30" w:type="dxa"/>
              <w:bottom w:w="20" w:type="dxa"/>
              <w:right w:w="30" w:type="dxa"/>
            </w:tcMar>
            <w:vAlign w:val="center"/>
          </w:tcPr>
          <w:p w14:paraId="2C0E09B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XAI / C</w:t>
            </w:r>
          </w:p>
        </w:tc>
      </w:tr>
      <w:tr w14:paraId="594C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B057A4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[34] </w:t>
            </w:r>
          </w:p>
        </w:tc>
        <w:tc>
          <w:tcPr>
            <w:tcW w:w="2590" w:type="dxa"/>
            <w:tcMar>
              <w:top w:w="20" w:type="dxa"/>
              <w:left w:w="30" w:type="dxa"/>
              <w:bottom w:w="20" w:type="dxa"/>
              <w:right w:w="30" w:type="dxa"/>
            </w:tcMar>
            <w:vAlign w:val="center"/>
          </w:tcPr>
          <w:p w14:paraId="3C30B92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Vision foundation models</w:t>
            </w:r>
          </w:p>
        </w:tc>
        <w:tc>
          <w:tcPr>
            <w:tcW w:w="2590" w:type="dxa"/>
            <w:tcMar>
              <w:top w:w="20" w:type="dxa"/>
              <w:left w:w="30" w:type="dxa"/>
              <w:bottom w:w="20" w:type="dxa"/>
              <w:right w:w="30" w:type="dxa"/>
            </w:tcMar>
            <w:vAlign w:val="center"/>
          </w:tcPr>
          <w:p w14:paraId="343BF25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Explainability survey; Literature synthesis</w:t>
            </w:r>
          </w:p>
        </w:tc>
        <w:tc>
          <w:tcPr>
            <w:tcW w:w="2590" w:type="dxa"/>
            <w:tcMar>
              <w:top w:w="20" w:type="dxa"/>
              <w:left w:w="30" w:type="dxa"/>
              <w:bottom w:w="20" w:type="dxa"/>
              <w:right w:w="30" w:type="dxa"/>
            </w:tcMar>
            <w:vAlign w:val="center"/>
          </w:tcPr>
          <w:p w14:paraId="7ACC15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Examines system-level explanation challenges</w:t>
            </w:r>
          </w:p>
        </w:tc>
        <w:tc>
          <w:tcPr>
            <w:tcW w:w="2590" w:type="dxa"/>
            <w:tcMar>
              <w:top w:w="20" w:type="dxa"/>
              <w:left w:w="30" w:type="dxa"/>
              <w:bottom w:w="20" w:type="dxa"/>
              <w:right w:w="30" w:type="dxa"/>
            </w:tcMar>
            <w:vAlign w:val="center"/>
          </w:tcPr>
          <w:p w14:paraId="026FDCF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Vision-focused; finance transfer requires testing</w:t>
            </w:r>
          </w:p>
        </w:tc>
        <w:tc>
          <w:tcPr>
            <w:tcW w:w="2590" w:type="dxa"/>
            <w:tcMar>
              <w:top w:w="20" w:type="dxa"/>
              <w:left w:w="30" w:type="dxa"/>
              <w:bottom w:w="20" w:type="dxa"/>
              <w:right w:w="30" w:type="dxa"/>
            </w:tcMar>
            <w:vAlign w:val="center"/>
          </w:tcPr>
          <w:p w14:paraId="187B9D4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XAI / C</w:t>
            </w:r>
          </w:p>
        </w:tc>
      </w:tr>
      <w:tr w14:paraId="104C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D136239">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[35] </w:t>
            </w:r>
          </w:p>
        </w:tc>
        <w:tc>
          <w:tcPr>
            <w:tcW w:w="2590" w:type="dxa"/>
            <w:tcMar>
              <w:top w:w="20" w:type="dxa"/>
              <w:left w:w="30" w:type="dxa"/>
              <w:bottom w:w="20" w:type="dxa"/>
              <w:right w:w="30" w:type="dxa"/>
            </w:tcMar>
            <w:vAlign w:val="center"/>
          </w:tcPr>
          <w:p w14:paraId="6BAC0FE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Finance</w:t>
            </w:r>
          </w:p>
        </w:tc>
        <w:tc>
          <w:tcPr>
            <w:tcW w:w="2590" w:type="dxa"/>
            <w:tcMar>
              <w:top w:w="20" w:type="dxa"/>
              <w:left w:w="30" w:type="dxa"/>
              <w:bottom w:w="20" w:type="dxa"/>
              <w:right w:w="30" w:type="dxa"/>
            </w:tcMar>
            <w:vAlign w:val="center"/>
          </w:tcPr>
          <w:p w14:paraId="42EBF49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SAFE AI framework; Statistical and conceptual framework</w:t>
            </w:r>
          </w:p>
        </w:tc>
        <w:tc>
          <w:tcPr>
            <w:tcW w:w="2590" w:type="dxa"/>
            <w:tcMar>
              <w:top w:w="20" w:type="dxa"/>
              <w:left w:w="30" w:type="dxa"/>
              <w:bottom w:w="20" w:type="dxa"/>
              <w:right w:w="30" w:type="dxa"/>
            </w:tcMar>
            <w:vAlign w:val="center"/>
          </w:tcPr>
          <w:p w14:paraId="71139B5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Operationalizes sustainability, accuracy, fairness, and explainability</w:t>
            </w:r>
          </w:p>
        </w:tc>
        <w:tc>
          <w:tcPr>
            <w:tcW w:w="2590" w:type="dxa"/>
            <w:tcMar>
              <w:top w:w="20" w:type="dxa"/>
              <w:left w:w="30" w:type="dxa"/>
              <w:bottom w:w="20" w:type="dxa"/>
              <w:right w:w="30" w:type="dxa"/>
            </w:tcMar>
            <w:vAlign w:val="center"/>
          </w:tcPr>
          <w:p w14:paraId="183C8D2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Framework-level evidence</w:t>
            </w:r>
          </w:p>
        </w:tc>
        <w:tc>
          <w:tcPr>
            <w:tcW w:w="2590" w:type="dxa"/>
            <w:tcMar>
              <w:top w:w="20" w:type="dxa"/>
              <w:left w:w="30" w:type="dxa"/>
              <w:bottom w:w="20" w:type="dxa"/>
              <w:right w:w="30" w:type="dxa"/>
            </w:tcMar>
            <w:vAlign w:val="center"/>
          </w:tcPr>
          <w:p w14:paraId="65FF5AD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A</w:t>
            </w:r>
          </w:p>
        </w:tc>
      </w:tr>
      <w:tr w14:paraId="59CA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38EB5CE">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[36] </w:t>
            </w:r>
          </w:p>
        </w:tc>
        <w:tc>
          <w:tcPr>
            <w:tcW w:w="2590" w:type="dxa"/>
            <w:tcMar>
              <w:top w:w="20" w:type="dxa"/>
              <w:left w:w="30" w:type="dxa"/>
              <w:bottom w:w="20" w:type="dxa"/>
              <w:right w:w="30" w:type="dxa"/>
            </w:tcMar>
            <w:vAlign w:val="center"/>
          </w:tcPr>
          <w:p w14:paraId="44E19C8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AI risk measurement</w:t>
            </w:r>
          </w:p>
        </w:tc>
        <w:tc>
          <w:tcPr>
            <w:tcW w:w="2590" w:type="dxa"/>
            <w:tcMar>
              <w:top w:w="20" w:type="dxa"/>
              <w:left w:w="30" w:type="dxa"/>
              <w:bottom w:w="20" w:type="dxa"/>
              <w:right w:w="30" w:type="dxa"/>
            </w:tcMar>
            <w:vAlign w:val="center"/>
          </w:tcPr>
          <w:p w14:paraId="1E3E576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Key AI risk indicators; Indicator development</w:t>
            </w:r>
          </w:p>
        </w:tc>
        <w:tc>
          <w:tcPr>
            <w:tcW w:w="2590" w:type="dxa"/>
            <w:tcMar>
              <w:top w:w="20" w:type="dxa"/>
              <w:left w:w="30" w:type="dxa"/>
              <w:bottom w:w="20" w:type="dxa"/>
              <w:right w:w="30" w:type="dxa"/>
            </w:tcMar>
            <w:vAlign w:val="center"/>
          </w:tcPr>
          <w:p w14:paraId="58AB25D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Connects principles to measurable risk indicators</w:t>
            </w:r>
          </w:p>
        </w:tc>
        <w:tc>
          <w:tcPr>
            <w:tcW w:w="2590" w:type="dxa"/>
            <w:tcMar>
              <w:top w:w="20" w:type="dxa"/>
              <w:left w:w="30" w:type="dxa"/>
              <w:bottom w:w="20" w:type="dxa"/>
              <w:right w:w="30" w:type="dxa"/>
            </w:tcMar>
            <w:vAlign w:val="center"/>
          </w:tcPr>
          <w:p w14:paraId="38D8724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Indicator validation depends on application</w:t>
            </w:r>
          </w:p>
        </w:tc>
        <w:tc>
          <w:tcPr>
            <w:tcW w:w="2590" w:type="dxa"/>
            <w:tcMar>
              <w:top w:w="20" w:type="dxa"/>
              <w:left w:w="30" w:type="dxa"/>
              <w:bottom w:w="20" w:type="dxa"/>
              <w:right w:w="30" w:type="dxa"/>
            </w:tcMar>
            <w:vAlign w:val="center"/>
          </w:tcPr>
          <w:p w14:paraId="62A4728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A</w:t>
            </w:r>
          </w:p>
        </w:tc>
      </w:tr>
      <w:tr w14:paraId="6EFD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023D7BB">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[37] </w:t>
            </w:r>
          </w:p>
        </w:tc>
        <w:tc>
          <w:tcPr>
            <w:tcW w:w="2590" w:type="dxa"/>
            <w:tcMar>
              <w:top w:w="20" w:type="dxa"/>
              <w:left w:w="30" w:type="dxa"/>
              <w:bottom w:w="20" w:type="dxa"/>
              <w:right w:w="30" w:type="dxa"/>
            </w:tcMar>
            <w:vAlign w:val="center"/>
          </w:tcPr>
          <w:p w14:paraId="2A18071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Healthcare and credit scoring</w:t>
            </w:r>
          </w:p>
        </w:tc>
        <w:tc>
          <w:tcPr>
            <w:tcW w:w="2590" w:type="dxa"/>
            <w:tcMar>
              <w:top w:w="20" w:type="dxa"/>
              <w:left w:w="30" w:type="dxa"/>
              <w:bottom w:w="20" w:type="dxa"/>
              <w:right w:w="30" w:type="dxa"/>
            </w:tcMar>
            <w:vAlign w:val="center"/>
          </w:tcPr>
          <w:p w14:paraId="76D3BA7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High-risk AI governance analysis; Interdisciplinary governance synthesis</w:t>
            </w:r>
          </w:p>
        </w:tc>
        <w:tc>
          <w:tcPr>
            <w:tcW w:w="2590" w:type="dxa"/>
            <w:tcMar>
              <w:top w:w="20" w:type="dxa"/>
              <w:left w:w="30" w:type="dxa"/>
              <w:bottom w:w="20" w:type="dxa"/>
              <w:right w:w="30" w:type="dxa"/>
            </w:tcMar>
            <w:vAlign w:val="center"/>
          </w:tcPr>
          <w:p w14:paraId="33A5564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Defines responsibility, transparency, audit, and human oversight</w:t>
            </w:r>
          </w:p>
        </w:tc>
        <w:tc>
          <w:tcPr>
            <w:tcW w:w="2590" w:type="dxa"/>
            <w:tcMar>
              <w:top w:w="20" w:type="dxa"/>
              <w:left w:w="30" w:type="dxa"/>
              <w:bottom w:w="20" w:type="dxa"/>
              <w:right w:w="30" w:type="dxa"/>
            </w:tcMar>
            <w:vAlign w:val="center"/>
          </w:tcPr>
          <w:p w14:paraId="68EB9CC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Cross-domain governance evidence</w:t>
            </w:r>
          </w:p>
        </w:tc>
        <w:tc>
          <w:tcPr>
            <w:tcW w:w="2590" w:type="dxa"/>
            <w:tcMar>
              <w:top w:w="20" w:type="dxa"/>
              <w:left w:w="30" w:type="dxa"/>
              <w:bottom w:w="20" w:type="dxa"/>
              <w:right w:w="30" w:type="dxa"/>
            </w:tcMar>
            <w:vAlign w:val="center"/>
          </w:tcPr>
          <w:p w14:paraId="31E9BCC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6F9A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C4681F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[38] </w:t>
            </w:r>
          </w:p>
        </w:tc>
        <w:tc>
          <w:tcPr>
            <w:tcW w:w="2590" w:type="dxa"/>
            <w:tcMar>
              <w:top w:w="20" w:type="dxa"/>
              <w:left w:w="30" w:type="dxa"/>
              <w:bottom w:w="20" w:type="dxa"/>
              <w:right w:w="30" w:type="dxa"/>
            </w:tcMar>
            <w:vAlign w:val="center"/>
          </w:tcPr>
          <w:p w14:paraId="77F4A4D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Commercial LLM governance</w:t>
            </w:r>
          </w:p>
        </w:tc>
        <w:tc>
          <w:tcPr>
            <w:tcW w:w="2590" w:type="dxa"/>
            <w:tcMar>
              <w:top w:w="20" w:type="dxa"/>
              <w:left w:w="30" w:type="dxa"/>
              <w:bottom w:w="20" w:type="dxa"/>
              <w:right w:w="30" w:type="dxa"/>
            </w:tcMar>
            <w:vAlign w:val="center"/>
          </w:tcPr>
          <w:p w14:paraId="7F64AA3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Framework comparison; COBIT/ISO and cybersecurity comparison</w:t>
            </w:r>
          </w:p>
        </w:tc>
        <w:tc>
          <w:tcPr>
            <w:tcW w:w="2590" w:type="dxa"/>
            <w:tcMar>
              <w:top w:w="20" w:type="dxa"/>
              <w:left w:w="30" w:type="dxa"/>
              <w:bottom w:w="20" w:type="dxa"/>
              <w:right w:w="30" w:type="dxa"/>
            </w:tcMar>
            <w:vAlign w:val="center"/>
          </w:tcPr>
          <w:p w14:paraId="53E2DF3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Assesses framework coverage for LLM commercialization</w:t>
            </w:r>
          </w:p>
        </w:tc>
        <w:tc>
          <w:tcPr>
            <w:tcW w:w="2590" w:type="dxa"/>
            <w:tcMar>
              <w:top w:w="20" w:type="dxa"/>
              <w:left w:w="30" w:type="dxa"/>
              <w:bottom w:w="20" w:type="dxa"/>
              <w:right w:w="30" w:type="dxa"/>
            </w:tcMar>
            <w:vAlign w:val="center"/>
          </w:tcPr>
          <w:p w14:paraId="419A15B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Framework-level analysis</w:t>
            </w:r>
          </w:p>
        </w:tc>
        <w:tc>
          <w:tcPr>
            <w:tcW w:w="2590" w:type="dxa"/>
            <w:tcMar>
              <w:top w:w="20" w:type="dxa"/>
              <w:left w:w="30" w:type="dxa"/>
              <w:bottom w:w="20" w:type="dxa"/>
              <w:right w:w="30" w:type="dxa"/>
            </w:tcMar>
            <w:vAlign w:val="center"/>
          </w:tcPr>
          <w:p w14:paraId="4F4044C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366D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5F483EB">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[39] </w:t>
            </w:r>
          </w:p>
        </w:tc>
        <w:tc>
          <w:tcPr>
            <w:tcW w:w="2590" w:type="dxa"/>
            <w:tcMar>
              <w:top w:w="20" w:type="dxa"/>
              <w:left w:w="30" w:type="dxa"/>
              <w:bottom w:w="20" w:type="dxa"/>
              <w:right w:w="30" w:type="dxa"/>
            </w:tcMar>
            <w:vAlign w:val="center"/>
          </w:tcPr>
          <w:p w14:paraId="60757D0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European AI liability</w:t>
            </w:r>
          </w:p>
        </w:tc>
        <w:tc>
          <w:tcPr>
            <w:tcW w:w="2590" w:type="dxa"/>
            <w:tcMar>
              <w:top w:w="20" w:type="dxa"/>
              <w:left w:w="30" w:type="dxa"/>
              <w:bottom w:w="20" w:type="dxa"/>
              <w:right w:w="30" w:type="dxa"/>
            </w:tcMar>
            <w:vAlign w:val="center"/>
          </w:tcPr>
          <w:p w14:paraId="164B3BC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Legal analysis; Doctrinal analysis</w:t>
            </w:r>
          </w:p>
        </w:tc>
        <w:tc>
          <w:tcPr>
            <w:tcW w:w="2590" w:type="dxa"/>
            <w:tcMar>
              <w:top w:w="20" w:type="dxa"/>
              <w:left w:w="30" w:type="dxa"/>
              <w:bottom w:w="20" w:type="dxa"/>
              <w:right w:w="30" w:type="dxa"/>
            </w:tcMar>
            <w:vAlign w:val="center"/>
          </w:tcPr>
          <w:p w14:paraId="5F413C4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Links high-risk regulation, interpretability, and liability</w:t>
            </w:r>
          </w:p>
        </w:tc>
        <w:tc>
          <w:tcPr>
            <w:tcW w:w="2590" w:type="dxa"/>
            <w:tcMar>
              <w:top w:w="20" w:type="dxa"/>
              <w:left w:w="30" w:type="dxa"/>
              <w:bottom w:w="20" w:type="dxa"/>
              <w:right w:w="30" w:type="dxa"/>
            </w:tcMar>
            <w:vAlign w:val="center"/>
          </w:tcPr>
          <w:p w14:paraId="64B13FD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Jurisdiction-specific</w:t>
            </w:r>
          </w:p>
        </w:tc>
        <w:tc>
          <w:tcPr>
            <w:tcW w:w="2590" w:type="dxa"/>
            <w:tcMar>
              <w:top w:w="20" w:type="dxa"/>
              <w:left w:w="30" w:type="dxa"/>
              <w:bottom w:w="20" w:type="dxa"/>
              <w:right w:w="30" w:type="dxa"/>
            </w:tcMar>
            <w:vAlign w:val="center"/>
          </w:tcPr>
          <w:p w14:paraId="7EEBC83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3BAC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D59FCB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[40] </w:t>
            </w:r>
          </w:p>
        </w:tc>
        <w:tc>
          <w:tcPr>
            <w:tcW w:w="2590" w:type="dxa"/>
            <w:tcMar>
              <w:top w:w="20" w:type="dxa"/>
              <w:left w:w="30" w:type="dxa"/>
              <w:bottom w:w="20" w:type="dxa"/>
              <w:right w:w="30" w:type="dxa"/>
            </w:tcMar>
            <w:vAlign w:val="center"/>
          </w:tcPr>
          <w:p w14:paraId="70404F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High-risk AI licensing</w:t>
            </w:r>
          </w:p>
        </w:tc>
        <w:tc>
          <w:tcPr>
            <w:tcW w:w="2590" w:type="dxa"/>
            <w:tcMar>
              <w:top w:w="20" w:type="dxa"/>
              <w:left w:w="30" w:type="dxa"/>
              <w:bottom w:w="20" w:type="dxa"/>
              <w:right w:w="30" w:type="dxa"/>
            </w:tcMar>
            <w:vAlign w:val="center"/>
          </w:tcPr>
          <w:p w14:paraId="6E44E69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Legal and policy analysis; Doctrinal analysis</w:t>
            </w:r>
          </w:p>
        </w:tc>
        <w:tc>
          <w:tcPr>
            <w:tcW w:w="2590" w:type="dxa"/>
            <w:tcMar>
              <w:top w:w="20" w:type="dxa"/>
              <w:left w:w="30" w:type="dxa"/>
              <w:bottom w:w="20" w:type="dxa"/>
              <w:right w:w="30" w:type="dxa"/>
            </w:tcMar>
            <w:vAlign w:val="center"/>
          </w:tcPr>
          <w:p w14:paraId="645015A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Argues for ex-ante obligations and justification</w:t>
            </w:r>
          </w:p>
        </w:tc>
        <w:tc>
          <w:tcPr>
            <w:tcW w:w="2590" w:type="dxa"/>
            <w:tcMar>
              <w:top w:w="20" w:type="dxa"/>
              <w:left w:w="30" w:type="dxa"/>
              <w:bottom w:w="20" w:type="dxa"/>
              <w:right w:w="30" w:type="dxa"/>
            </w:tcMar>
            <w:vAlign w:val="center"/>
          </w:tcPr>
          <w:p w14:paraId="6F5CD62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Jurisdictional and normative</w:t>
            </w:r>
          </w:p>
        </w:tc>
        <w:tc>
          <w:tcPr>
            <w:tcW w:w="2590" w:type="dxa"/>
            <w:tcMar>
              <w:top w:w="20" w:type="dxa"/>
              <w:left w:w="30" w:type="dxa"/>
              <w:bottom w:w="20" w:type="dxa"/>
              <w:right w:w="30" w:type="dxa"/>
            </w:tcMar>
            <w:vAlign w:val="center"/>
          </w:tcPr>
          <w:p w14:paraId="578F9DF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15FD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793A56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[41] </w:t>
            </w:r>
          </w:p>
        </w:tc>
        <w:tc>
          <w:tcPr>
            <w:tcW w:w="2590" w:type="dxa"/>
            <w:tcMar>
              <w:top w:w="20" w:type="dxa"/>
              <w:left w:w="30" w:type="dxa"/>
              <w:bottom w:w="20" w:type="dxa"/>
              <w:right w:w="30" w:type="dxa"/>
            </w:tcMar>
            <w:vAlign w:val="center"/>
          </w:tcPr>
          <w:p w14:paraId="563CD8C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Retrieval-augmented generation</w:t>
            </w:r>
          </w:p>
        </w:tc>
        <w:tc>
          <w:tcPr>
            <w:tcW w:w="2590" w:type="dxa"/>
            <w:tcMar>
              <w:top w:w="20" w:type="dxa"/>
              <w:left w:w="30" w:type="dxa"/>
              <w:bottom w:w="20" w:type="dxa"/>
              <w:right w:w="30" w:type="dxa"/>
            </w:tcMar>
            <w:vAlign w:val="center"/>
          </w:tcPr>
          <w:p w14:paraId="77550FE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Hallucination-mitigation review; Literature synthesis</w:t>
            </w:r>
          </w:p>
        </w:tc>
        <w:tc>
          <w:tcPr>
            <w:tcW w:w="2590" w:type="dxa"/>
            <w:tcMar>
              <w:top w:w="20" w:type="dxa"/>
              <w:left w:w="30" w:type="dxa"/>
              <w:bottom w:w="20" w:type="dxa"/>
              <w:right w:w="30" w:type="dxa"/>
            </w:tcMar>
            <w:vAlign w:val="center"/>
          </w:tcPr>
          <w:p w14:paraId="154FE0F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Reviews RAG failure modes and mitigation</w:t>
            </w:r>
          </w:p>
        </w:tc>
        <w:tc>
          <w:tcPr>
            <w:tcW w:w="2590" w:type="dxa"/>
            <w:tcMar>
              <w:top w:w="20" w:type="dxa"/>
              <w:left w:w="30" w:type="dxa"/>
              <w:bottom w:w="20" w:type="dxa"/>
              <w:right w:w="30" w:type="dxa"/>
            </w:tcMar>
            <w:vAlign w:val="center"/>
          </w:tcPr>
          <w:p w14:paraId="3475571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evidence</w:t>
            </w:r>
          </w:p>
        </w:tc>
        <w:tc>
          <w:tcPr>
            <w:tcW w:w="2590" w:type="dxa"/>
            <w:tcMar>
              <w:top w:w="20" w:type="dxa"/>
              <w:left w:w="30" w:type="dxa"/>
              <w:bottom w:w="20" w:type="dxa"/>
              <w:right w:w="30" w:type="dxa"/>
            </w:tcMar>
            <w:vAlign w:val="center"/>
          </w:tcPr>
          <w:p w14:paraId="149AE98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C</w:t>
            </w:r>
          </w:p>
        </w:tc>
      </w:tr>
      <w:tr w14:paraId="2AC3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4B20A0B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[42] </w:t>
            </w:r>
          </w:p>
        </w:tc>
        <w:tc>
          <w:tcPr>
            <w:tcW w:w="2590" w:type="dxa"/>
            <w:tcMar>
              <w:top w:w="20" w:type="dxa"/>
              <w:left w:w="30" w:type="dxa"/>
              <w:bottom w:w="20" w:type="dxa"/>
              <w:right w:w="30" w:type="dxa"/>
            </w:tcMar>
            <w:vAlign w:val="center"/>
          </w:tcPr>
          <w:p w14:paraId="3DC26DB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Scholarly citation generation</w:t>
            </w:r>
          </w:p>
        </w:tc>
        <w:tc>
          <w:tcPr>
            <w:tcW w:w="2590" w:type="dxa"/>
            <w:tcMar>
              <w:top w:w="20" w:type="dxa"/>
              <w:left w:w="30" w:type="dxa"/>
              <w:bottom w:w="20" w:type="dxa"/>
              <w:right w:w="30" w:type="dxa"/>
            </w:tcMar>
            <w:vAlign w:val="center"/>
          </w:tcPr>
          <w:p w14:paraId="66F8BCA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Cross-disciplinary citation reliability study; Model evaluation</w:t>
            </w:r>
          </w:p>
        </w:tc>
        <w:tc>
          <w:tcPr>
            <w:tcW w:w="2590" w:type="dxa"/>
            <w:tcMar>
              <w:top w:w="20" w:type="dxa"/>
              <w:left w:w="30" w:type="dxa"/>
              <w:bottom w:w="20" w:type="dxa"/>
              <w:right w:w="30" w:type="dxa"/>
            </w:tcMar>
            <w:vAlign w:val="center"/>
          </w:tcPr>
          <w:p w14:paraId="6F6A606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Measures citation and reference reliability</w:t>
            </w:r>
          </w:p>
        </w:tc>
        <w:tc>
          <w:tcPr>
            <w:tcW w:w="2590" w:type="dxa"/>
            <w:tcMar>
              <w:top w:w="20" w:type="dxa"/>
              <w:left w:w="30" w:type="dxa"/>
              <w:bottom w:w="20" w:type="dxa"/>
              <w:right w:w="30" w:type="dxa"/>
            </w:tcMar>
            <w:vAlign w:val="center"/>
          </w:tcPr>
          <w:p w14:paraId="5F024F4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Scholarly-writing task</w:t>
            </w:r>
          </w:p>
        </w:tc>
        <w:tc>
          <w:tcPr>
            <w:tcW w:w="2590" w:type="dxa"/>
            <w:tcMar>
              <w:top w:w="20" w:type="dxa"/>
              <w:left w:w="30" w:type="dxa"/>
              <w:bottom w:w="20" w:type="dxa"/>
              <w:right w:w="30" w:type="dxa"/>
            </w:tcMar>
            <w:vAlign w:val="center"/>
          </w:tcPr>
          <w:p w14:paraId="76A81F3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A</w:t>
            </w:r>
          </w:p>
        </w:tc>
      </w:tr>
      <w:tr w14:paraId="3D6D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50FBF6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[43] </w:t>
            </w:r>
          </w:p>
        </w:tc>
        <w:tc>
          <w:tcPr>
            <w:tcW w:w="2590" w:type="dxa"/>
            <w:tcMar>
              <w:top w:w="20" w:type="dxa"/>
              <w:left w:w="30" w:type="dxa"/>
              <w:bottom w:w="20" w:type="dxa"/>
              <w:right w:w="30" w:type="dxa"/>
            </w:tcMar>
            <w:vAlign w:val="center"/>
          </w:tcPr>
          <w:p w14:paraId="682E201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Expert financial understanding</w:t>
            </w:r>
          </w:p>
        </w:tc>
        <w:tc>
          <w:tcPr>
            <w:tcW w:w="2590" w:type="dxa"/>
            <w:tcMar>
              <w:top w:w="20" w:type="dxa"/>
              <w:left w:w="30" w:type="dxa"/>
              <w:bottom w:w="20" w:type="dxa"/>
              <w:right w:w="30" w:type="dxa"/>
            </w:tcMar>
            <w:vAlign w:val="center"/>
          </w:tcPr>
          <w:p w14:paraId="4C911A9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MME-Finance benchmark; Multimodal finance benchmark</w:t>
            </w:r>
          </w:p>
        </w:tc>
        <w:tc>
          <w:tcPr>
            <w:tcW w:w="2590" w:type="dxa"/>
            <w:tcMar>
              <w:top w:w="20" w:type="dxa"/>
              <w:left w:w="30" w:type="dxa"/>
              <w:bottom w:w="20" w:type="dxa"/>
              <w:right w:w="30" w:type="dxa"/>
            </w:tcMar>
            <w:vAlign w:val="center"/>
          </w:tcPr>
          <w:p w14:paraId="75B7158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Evaluates text, tables, charts, and expert reasoning</w:t>
            </w:r>
          </w:p>
        </w:tc>
        <w:tc>
          <w:tcPr>
            <w:tcW w:w="2590" w:type="dxa"/>
            <w:tcMar>
              <w:top w:w="20" w:type="dxa"/>
              <w:left w:w="30" w:type="dxa"/>
              <w:bottom w:w="20" w:type="dxa"/>
              <w:right w:w="30" w:type="dxa"/>
            </w:tcMar>
            <w:vAlign w:val="center"/>
          </w:tcPr>
          <w:p w14:paraId="0BC2F9F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Benchmark coverage does not equal deployment reliability</w:t>
            </w:r>
          </w:p>
        </w:tc>
        <w:tc>
          <w:tcPr>
            <w:tcW w:w="2590" w:type="dxa"/>
            <w:tcMar>
              <w:top w:w="20" w:type="dxa"/>
              <w:left w:w="30" w:type="dxa"/>
              <w:bottom w:w="20" w:type="dxa"/>
              <w:right w:w="30" w:type="dxa"/>
            </w:tcMar>
            <w:vAlign w:val="center"/>
          </w:tcPr>
          <w:p w14:paraId="51FBA17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A</w:t>
            </w:r>
          </w:p>
        </w:tc>
      </w:tr>
      <w:tr w14:paraId="1D60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933053A">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[44] </w:t>
            </w:r>
          </w:p>
        </w:tc>
        <w:tc>
          <w:tcPr>
            <w:tcW w:w="2590" w:type="dxa"/>
            <w:tcMar>
              <w:top w:w="20" w:type="dxa"/>
              <w:left w:w="30" w:type="dxa"/>
              <w:bottom w:w="20" w:type="dxa"/>
              <w:right w:w="30" w:type="dxa"/>
            </w:tcMar>
            <w:vAlign w:val="center"/>
          </w:tcPr>
          <w:p w14:paraId="355C79C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Finance</w:t>
            </w:r>
          </w:p>
        </w:tc>
        <w:tc>
          <w:tcPr>
            <w:tcW w:w="2590" w:type="dxa"/>
            <w:tcMar>
              <w:top w:w="20" w:type="dxa"/>
              <w:left w:w="30" w:type="dxa"/>
              <w:bottom w:w="20" w:type="dxa"/>
              <w:right w:w="30" w:type="dxa"/>
            </w:tcMar>
            <w:vAlign w:val="center"/>
          </w:tcPr>
          <w:p w14:paraId="37B9B7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Model-agnostic XAI systematic review; Literature synthesis</w:t>
            </w:r>
          </w:p>
        </w:tc>
        <w:tc>
          <w:tcPr>
            <w:tcW w:w="2590" w:type="dxa"/>
            <w:tcMar>
              <w:top w:w="20" w:type="dxa"/>
              <w:left w:w="30" w:type="dxa"/>
              <w:bottom w:w="20" w:type="dxa"/>
              <w:right w:w="30" w:type="dxa"/>
            </w:tcMar>
            <w:vAlign w:val="center"/>
          </w:tcPr>
          <w:p w14:paraId="6ACF85E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Reviews financial XAI methods and limitations</w:t>
            </w:r>
          </w:p>
        </w:tc>
        <w:tc>
          <w:tcPr>
            <w:tcW w:w="2590" w:type="dxa"/>
            <w:tcMar>
              <w:top w:w="20" w:type="dxa"/>
              <w:left w:w="30" w:type="dxa"/>
              <w:bottom w:w="20" w:type="dxa"/>
              <w:right w:w="30" w:type="dxa"/>
            </w:tcMar>
            <w:vAlign w:val="center"/>
          </w:tcPr>
          <w:p w14:paraId="3651E3D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Primarily predictive ML; LLM transfer requires care</w:t>
            </w:r>
          </w:p>
        </w:tc>
        <w:tc>
          <w:tcPr>
            <w:tcW w:w="2590" w:type="dxa"/>
            <w:tcMar>
              <w:top w:w="20" w:type="dxa"/>
              <w:left w:w="30" w:type="dxa"/>
              <w:bottom w:w="20" w:type="dxa"/>
              <w:right w:w="30" w:type="dxa"/>
            </w:tcMar>
            <w:vAlign w:val="center"/>
          </w:tcPr>
          <w:p w14:paraId="7E9E63A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XAI / C</w:t>
            </w:r>
          </w:p>
        </w:tc>
      </w:tr>
      <w:tr w14:paraId="4BF2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67728CEA">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[45] </w:t>
            </w:r>
          </w:p>
        </w:tc>
        <w:tc>
          <w:tcPr>
            <w:tcW w:w="2590" w:type="dxa"/>
            <w:tcMar>
              <w:top w:w="20" w:type="dxa"/>
              <w:left w:w="30" w:type="dxa"/>
              <w:bottom w:w="20" w:type="dxa"/>
              <w:right w:w="30" w:type="dxa"/>
            </w:tcMar>
            <w:vAlign w:val="center"/>
          </w:tcPr>
          <w:p w14:paraId="3094D34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 literature review generation</w:t>
            </w:r>
          </w:p>
        </w:tc>
        <w:tc>
          <w:tcPr>
            <w:tcW w:w="2590" w:type="dxa"/>
            <w:tcMar>
              <w:top w:w="20" w:type="dxa"/>
              <w:left w:w="30" w:type="dxa"/>
              <w:bottom w:w="20" w:type="dxa"/>
              <w:right w:w="30" w:type="dxa"/>
            </w:tcMar>
            <w:vAlign w:val="center"/>
          </w:tcPr>
          <w:p w14:paraId="587A6F0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Bibliographic hallucination evaluation; Generated-review citation benchmark</w:t>
            </w:r>
          </w:p>
        </w:tc>
        <w:tc>
          <w:tcPr>
            <w:tcW w:w="2590" w:type="dxa"/>
            <w:tcMar>
              <w:top w:w="20" w:type="dxa"/>
              <w:left w:w="30" w:type="dxa"/>
              <w:bottom w:w="20" w:type="dxa"/>
              <w:right w:w="30" w:type="dxa"/>
            </w:tcMar>
            <w:vAlign w:val="center"/>
          </w:tcPr>
          <w:p w14:paraId="6C028C1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Measures fabricated and inaccurate citations</w:t>
            </w:r>
          </w:p>
        </w:tc>
        <w:tc>
          <w:tcPr>
            <w:tcW w:w="2590" w:type="dxa"/>
            <w:tcMar>
              <w:top w:w="20" w:type="dxa"/>
              <w:left w:w="30" w:type="dxa"/>
              <w:bottom w:w="20" w:type="dxa"/>
              <w:right w:w="30" w:type="dxa"/>
            </w:tcMar>
            <w:vAlign w:val="center"/>
          </w:tcPr>
          <w:p w14:paraId="38C5A78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Task-specific</w:t>
            </w:r>
          </w:p>
        </w:tc>
        <w:tc>
          <w:tcPr>
            <w:tcW w:w="2590" w:type="dxa"/>
            <w:tcMar>
              <w:top w:w="20" w:type="dxa"/>
              <w:left w:w="30" w:type="dxa"/>
              <w:bottom w:w="20" w:type="dxa"/>
              <w:right w:w="30" w:type="dxa"/>
            </w:tcMar>
            <w:vAlign w:val="center"/>
          </w:tcPr>
          <w:p w14:paraId="11B79C4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A</w:t>
            </w:r>
          </w:p>
        </w:tc>
      </w:tr>
      <w:tr w14:paraId="245E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2A930DC">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[46] </w:t>
            </w:r>
          </w:p>
        </w:tc>
        <w:tc>
          <w:tcPr>
            <w:tcW w:w="2590" w:type="dxa"/>
            <w:tcMar>
              <w:top w:w="20" w:type="dxa"/>
              <w:left w:w="30" w:type="dxa"/>
              <w:bottom w:w="20" w:type="dxa"/>
              <w:right w:w="30" w:type="dxa"/>
            </w:tcMar>
            <w:vAlign w:val="center"/>
          </w:tcPr>
          <w:p w14:paraId="1FC435D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 document QA</w:t>
            </w:r>
          </w:p>
        </w:tc>
        <w:tc>
          <w:tcPr>
            <w:tcW w:w="2590" w:type="dxa"/>
            <w:tcMar>
              <w:top w:w="20" w:type="dxa"/>
              <w:left w:w="30" w:type="dxa"/>
              <w:bottom w:w="20" w:type="dxa"/>
              <w:right w:w="30" w:type="dxa"/>
            </w:tcMar>
            <w:vAlign w:val="center"/>
          </w:tcPr>
          <w:p w14:paraId="45529C1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Mathematical-reasoning benchmark; Financial document question answering</w:t>
            </w:r>
          </w:p>
        </w:tc>
        <w:tc>
          <w:tcPr>
            <w:tcW w:w="2590" w:type="dxa"/>
            <w:tcMar>
              <w:top w:w="20" w:type="dxa"/>
              <w:left w:w="30" w:type="dxa"/>
              <w:bottom w:w="20" w:type="dxa"/>
              <w:right w:w="30" w:type="dxa"/>
            </w:tcMar>
            <w:vAlign w:val="center"/>
          </w:tcPr>
          <w:p w14:paraId="0D3A615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Tests numerical and document reasoning</w:t>
            </w:r>
          </w:p>
        </w:tc>
        <w:tc>
          <w:tcPr>
            <w:tcW w:w="2590" w:type="dxa"/>
            <w:tcMar>
              <w:top w:w="20" w:type="dxa"/>
              <w:left w:w="30" w:type="dxa"/>
              <w:bottom w:w="20" w:type="dxa"/>
              <w:right w:w="30" w:type="dxa"/>
            </w:tcMar>
            <w:vAlign w:val="center"/>
          </w:tcPr>
          <w:p w14:paraId="13B60C2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Benchmark and model-version specific</w:t>
            </w:r>
          </w:p>
        </w:tc>
        <w:tc>
          <w:tcPr>
            <w:tcW w:w="2590" w:type="dxa"/>
            <w:tcMar>
              <w:top w:w="20" w:type="dxa"/>
              <w:left w:w="30" w:type="dxa"/>
              <w:bottom w:w="20" w:type="dxa"/>
              <w:right w:w="30" w:type="dxa"/>
            </w:tcMar>
            <w:vAlign w:val="center"/>
          </w:tcPr>
          <w:p w14:paraId="49FDB03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A</w:t>
            </w:r>
          </w:p>
        </w:tc>
      </w:tr>
      <w:tr w14:paraId="5EC8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7D78BBB">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[47] </w:t>
            </w:r>
          </w:p>
        </w:tc>
        <w:tc>
          <w:tcPr>
            <w:tcW w:w="2590" w:type="dxa"/>
            <w:tcMar>
              <w:top w:w="20" w:type="dxa"/>
              <w:left w:w="30" w:type="dxa"/>
              <w:bottom w:w="20" w:type="dxa"/>
              <w:right w:w="30" w:type="dxa"/>
            </w:tcMar>
            <w:vAlign w:val="center"/>
          </w:tcPr>
          <w:p w14:paraId="031858A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Financial-language domain adaptation</w:t>
            </w:r>
          </w:p>
        </w:tc>
        <w:tc>
          <w:tcPr>
            <w:tcW w:w="2590" w:type="dxa"/>
            <w:tcMar>
              <w:top w:w="20" w:type="dxa"/>
              <w:left w:w="30" w:type="dxa"/>
              <w:bottom w:w="20" w:type="dxa"/>
              <w:right w:w="30" w:type="dxa"/>
            </w:tcMar>
            <w:vAlign w:val="center"/>
          </w:tcPr>
          <w:p w14:paraId="580CEE3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Arabic machine translation case; Domain-adaptation experiment</w:t>
            </w:r>
          </w:p>
        </w:tc>
        <w:tc>
          <w:tcPr>
            <w:tcW w:w="2590" w:type="dxa"/>
            <w:tcMar>
              <w:top w:w="20" w:type="dxa"/>
              <w:left w:w="30" w:type="dxa"/>
              <w:bottom w:w="20" w:type="dxa"/>
              <w:right w:w="30" w:type="dxa"/>
            </w:tcMar>
            <w:vAlign w:val="center"/>
          </w:tcPr>
          <w:p w14:paraId="031B394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benefits and limits of specialized financial text</w:t>
            </w:r>
          </w:p>
        </w:tc>
        <w:tc>
          <w:tcPr>
            <w:tcW w:w="2590" w:type="dxa"/>
            <w:tcMar>
              <w:top w:w="20" w:type="dxa"/>
              <w:left w:w="30" w:type="dxa"/>
              <w:bottom w:w="20" w:type="dxa"/>
              <w:right w:w="30" w:type="dxa"/>
            </w:tcMar>
            <w:vAlign w:val="center"/>
          </w:tcPr>
          <w:p w14:paraId="46722BD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Translation task, not financial decision support</w:t>
            </w:r>
          </w:p>
        </w:tc>
        <w:tc>
          <w:tcPr>
            <w:tcW w:w="2590" w:type="dxa"/>
            <w:tcMar>
              <w:top w:w="20" w:type="dxa"/>
              <w:left w:w="30" w:type="dxa"/>
              <w:bottom w:w="20" w:type="dxa"/>
              <w:right w:w="30" w:type="dxa"/>
            </w:tcMar>
            <w:vAlign w:val="center"/>
          </w:tcPr>
          <w:p w14:paraId="2508D46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design / A</w:t>
            </w:r>
          </w:p>
        </w:tc>
      </w:tr>
      <w:tr w14:paraId="6764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6644376">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[48] </w:t>
            </w:r>
          </w:p>
        </w:tc>
        <w:tc>
          <w:tcPr>
            <w:tcW w:w="2590" w:type="dxa"/>
            <w:tcMar>
              <w:top w:w="20" w:type="dxa"/>
              <w:left w:w="30" w:type="dxa"/>
              <w:bottom w:w="20" w:type="dxa"/>
              <w:right w:w="30" w:type="dxa"/>
            </w:tcMar>
            <w:vAlign w:val="center"/>
          </w:tcPr>
          <w:p w14:paraId="5F7CECA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 prediction</w:t>
            </w:r>
          </w:p>
        </w:tc>
        <w:tc>
          <w:tcPr>
            <w:tcW w:w="2590" w:type="dxa"/>
            <w:tcMar>
              <w:top w:w="20" w:type="dxa"/>
              <w:left w:w="30" w:type="dxa"/>
              <w:bottom w:w="20" w:type="dxa"/>
              <w:right w:w="30" w:type="dxa"/>
            </w:tcMar>
            <w:vAlign w:val="center"/>
          </w:tcPr>
          <w:p w14:paraId="56903E0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information-fusion application; Application study</w:t>
            </w:r>
          </w:p>
        </w:tc>
        <w:tc>
          <w:tcPr>
            <w:tcW w:w="2590" w:type="dxa"/>
            <w:tcMar>
              <w:top w:w="20" w:type="dxa"/>
              <w:left w:w="30" w:type="dxa"/>
              <w:bottom w:w="20" w:type="dxa"/>
              <w:right w:w="30" w:type="dxa"/>
            </w:tcMar>
            <w:vAlign w:val="center"/>
          </w:tcPr>
          <w:p w14:paraId="76A9621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Uses multiple data forms for prediction</w:t>
            </w:r>
          </w:p>
        </w:tc>
        <w:tc>
          <w:tcPr>
            <w:tcW w:w="2590" w:type="dxa"/>
            <w:tcMar>
              <w:top w:w="20" w:type="dxa"/>
              <w:left w:w="30" w:type="dxa"/>
              <w:bottom w:w="20" w:type="dxa"/>
              <w:right w:w="30" w:type="dxa"/>
            </w:tcMar>
            <w:vAlign w:val="center"/>
          </w:tcPr>
          <w:p w14:paraId="5B24353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Limited methodological detail and narrow context</w:t>
            </w:r>
          </w:p>
        </w:tc>
        <w:tc>
          <w:tcPr>
            <w:tcW w:w="2590" w:type="dxa"/>
            <w:tcMar>
              <w:top w:w="20" w:type="dxa"/>
              <w:left w:w="30" w:type="dxa"/>
              <w:bottom w:w="20" w:type="dxa"/>
              <w:right w:w="30" w:type="dxa"/>
            </w:tcMar>
            <w:vAlign w:val="center"/>
          </w:tcPr>
          <w:p w14:paraId="171A4F6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B</w:t>
            </w:r>
          </w:p>
        </w:tc>
      </w:tr>
      <w:tr w14:paraId="01D6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051D3589">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[49] </w:t>
            </w:r>
          </w:p>
        </w:tc>
        <w:tc>
          <w:tcPr>
            <w:tcW w:w="2590" w:type="dxa"/>
            <w:tcMar>
              <w:top w:w="20" w:type="dxa"/>
              <w:left w:w="30" w:type="dxa"/>
              <w:bottom w:w="20" w:type="dxa"/>
              <w:right w:w="30" w:type="dxa"/>
            </w:tcMar>
            <w:vAlign w:val="center"/>
          </w:tcPr>
          <w:p w14:paraId="4C9B8E2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Corporate strategy</w:t>
            </w:r>
          </w:p>
        </w:tc>
        <w:tc>
          <w:tcPr>
            <w:tcW w:w="2590" w:type="dxa"/>
            <w:tcMar>
              <w:top w:w="20" w:type="dxa"/>
              <w:left w:w="30" w:type="dxa"/>
              <w:bottom w:w="20" w:type="dxa"/>
              <w:right w:w="30" w:type="dxa"/>
            </w:tcMar>
            <w:vAlign w:val="center"/>
          </w:tcPr>
          <w:p w14:paraId="06A94FA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financial-data fusion; Application analysis</w:t>
            </w:r>
          </w:p>
        </w:tc>
        <w:tc>
          <w:tcPr>
            <w:tcW w:w="2590" w:type="dxa"/>
            <w:tcMar>
              <w:top w:w="20" w:type="dxa"/>
              <w:left w:w="30" w:type="dxa"/>
              <w:bottom w:w="20" w:type="dxa"/>
              <w:right w:w="30" w:type="dxa"/>
            </w:tcMar>
            <w:vAlign w:val="center"/>
          </w:tcPr>
          <w:p w14:paraId="2861793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Illustrates heterogeneous-data integration</w:t>
            </w:r>
          </w:p>
        </w:tc>
        <w:tc>
          <w:tcPr>
            <w:tcW w:w="2590" w:type="dxa"/>
            <w:tcMar>
              <w:top w:w="20" w:type="dxa"/>
              <w:left w:w="30" w:type="dxa"/>
              <w:bottom w:w="20" w:type="dxa"/>
              <w:right w:w="30" w:type="dxa"/>
            </w:tcMar>
            <w:vAlign w:val="center"/>
          </w:tcPr>
          <w:p w14:paraId="3E73C14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Narrow application and limited external validation</w:t>
            </w:r>
          </w:p>
        </w:tc>
        <w:tc>
          <w:tcPr>
            <w:tcW w:w="2590" w:type="dxa"/>
            <w:tcMar>
              <w:top w:w="20" w:type="dxa"/>
              <w:left w:w="30" w:type="dxa"/>
              <w:bottom w:w="20" w:type="dxa"/>
              <w:right w:w="30" w:type="dxa"/>
            </w:tcMar>
            <w:vAlign w:val="center"/>
          </w:tcPr>
          <w:p w14:paraId="79CB285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B</w:t>
            </w:r>
          </w:p>
        </w:tc>
      </w:tr>
      <w:tr w14:paraId="0ABE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09B55FB">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[50] </w:t>
            </w:r>
          </w:p>
        </w:tc>
        <w:tc>
          <w:tcPr>
            <w:tcW w:w="2590" w:type="dxa"/>
            <w:tcMar>
              <w:top w:w="20" w:type="dxa"/>
              <w:left w:w="30" w:type="dxa"/>
              <w:bottom w:w="20" w:type="dxa"/>
              <w:right w:w="30" w:type="dxa"/>
            </w:tcMar>
            <w:vAlign w:val="center"/>
          </w:tcPr>
          <w:p w14:paraId="023E491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Omni-modal MLLMs</w:t>
            </w:r>
          </w:p>
        </w:tc>
        <w:tc>
          <w:tcPr>
            <w:tcW w:w="2590" w:type="dxa"/>
            <w:tcMar>
              <w:top w:w="20" w:type="dxa"/>
              <w:left w:w="30" w:type="dxa"/>
              <w:bottom w:w="20" w:type="dxa"/>
              <w:right w:w="30" w:type="dxa"/>
            </w:tcMar>
            <w:vAlign w:val="center"/>
          </w:tcPr>
          <w:p w14:paraId="2A87A99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Survey; Literature synthesis</w:t>
            </w:r>
          </w:p>
        </w:tc>
        <w:tc>
          <w:tcPr>
            <w:tcW w:w="2590" w:type="dxa"/>
            <w:tcMar>
              <w:top w:w="20" w:type="dxa"/>
              <w:left w:w="30" w:type="dxa"/>
              <w:bottom w:w="20" w:type="dxa"/>
              <w:right w:w="30" w:type="dxa"/>
            </w:tcMar>
            <w:vAlign w:val="center"/>
          </w:tcPr>
          <w:p w14:paraId="3181C75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Reviews alignment across multiple modalities</w:t>
            </w:r>
          </w:p>
        </w:tc>
        <w:tc>
          <w:tcPr>
            <w:tcW w:w="2590" w:type="dxa"/>
            <w:tcMar>
              <w:top w:w="20" w:type="dxa"/>
              <w:left w:w="30" w:type="dxa"/>
              <w:bottom w:w="20" w:type="dxa"/>
              <w:right w:w="30" w:type="dxa"/>
            </w:tcMar>
            <w:vAlign w:val="center"/>
          </w:tcPr>
          <w:p w14:paraId="5AC9625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survey</w:t>
            </w:r>
          </w:p>
        </w:tc>
        <w:tc>
          <w:tcPr>
            <w:tcW w:w="2590" w:type="dxa"/>
            <w:tcMar>
              <w:top w:w="20" w:type="dxa"/>
              <w:left w:w="30" w:type="dxa"/>
              <w:bottom w:w="20" w:type="dxa"/>
              <w:right w:w="30" w:type="dxa"/>
            </w:tcMar>
            <w:vAlign w:val="center"/>
          </w:tcPr>
          <w:p w14:paraId="7ACFA37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4CA9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60CD8B2">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[51] </w:t>
            </w:r>
          </w:p>
        </w:tc>
        <w:tc>
          <w:tcPr>
            <w:tcW w:w="2590" w:type="dxa"/>
            <w:tcMar>
              <w:top w:w="20" w:type="dxa"/>
              <w:left w:w="30" w:type="dxa"/>
              <w:bottom w:w="20" w:type="dxa"/>
              <w:right w:w="30" w:type="dxa"/>
            </w:tcMar>
            <w:vAlign w:val="center"/>
          </w:tcPr>
          <w:p w14:paraId="45E20C4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machine learning</w:t>
            </w:r>
          </w:p>
        </w:tc>
        <w:tc>
          <w:tcPr>
            <w:tcW w:w="2590" w:type="dxa"/>
            <w:tcMar>
              <w:top w:w="20" w:type="dxa"/>
              <w:left w:w="30" w:type="dxa"/>
              <w:bottom w:w="20" w:type="dxa"/>
              <w:right w:w="30" w:type="dxa"/>
            </w:tcMar>
            <w:vAlign w:val="center"/>
          </w:tcPr>
          <w:p w14:paraId="0BFE54B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Principles and open-questions survey; Literature synthesis</w:t>
            </w:r>
          </w:p>
        </w:tc>
        <w:tc>
          <w:tcPr>
            <w:tcW w:w="2590" w:type="dxa"/>
            <w:tcMar>
              <w:top w:w="20" w:type="dxa"/>
              <w:left w:w="30" w:type="dxa"/>
              <w:bottom w:w="20" w:type="dxa"/>
              <w:right w:w="30" w:type="dxa"/>
            </w:tcMar>
            <w:vAlign w:val="center"/>
          </w:tcPr>
          <w:p w14:paraId="3705B90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Synthesizes foundations, challenges, and research questions</w:t>
            </w:r>
          </w:p>
        </w:tc>
        <w:tc>
          <w:tcPr>
            <w:tcW w:w="2590" w:type="dxa"/>
            <w:tcMar>
              <w:top w:w="20" w:type="dxa"/>
              <w:left w:w="30" w:type="dxa"/>
              <w:bottom w:w="20" w:type="dxa"/>
              <w:right w:w="30" w:type="dxa"/>
            </w:tcMar>
            <w:vAlign w:val="center"/>
          </w:tcPr>
          <w:p w14:paraId="7198A16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evidence</w:t>
            </w:r>
          </w:p>
        </w:tc>
        <w:tc>
          <w:tcPr>
            <w:tcW w:w="2590" w:type="dxa"/>
            <w:tcMar>
              <w:top w:w="20" w:type="dxa"/>
              <w:left w:w="30" w:type="dxa"/>
              <w:bottom w:w="20" w:type="dxa"/>
              <w:right w:w="30" w:type="dxa"/>
            </w:tcMar>
            <w:vAlign w:val="center"/>
          </w:tcPr>
          <w:p w14:paraId="0775C8E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606F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99FAF23">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[52] </w:t>
            </w:r>
          </w:p>
        </w:tc>
        <w:tc>
          <w:tcPr>
            <w:tcW w:w="2590" w:type="dxa"/>
            <w:tcMar>
              <w:top w:w="20" w:type="dxa"/>
              <w:left w:w="30" w:type="dxa"/>
              <w:bottom w:w="20" w:type="dxa"/>
              <w:right w:w="30" w:type="dxa"/>
            </w:tcMar>
            <w:vAlign w:val="center"/>
          </w:tcPr>
          <w:p w14:paraId="1E0E90B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Language models</w:t>
            </w:r>
          </w:p>
        </w:tc>
        <w:tc>
          <w:tcPr>
            <w:tcW w:w="2590" w:type="dxa"/>
            <w:tcMar>
              <w:top w:w="20" w:type="dxa"/>
              <w:left w:w="30" w:type="dxa"/>
              <w:bottom w:w="20" w:type="dxa"/>
              <w:right w:w="30" w:type="dxa"/>
            </w:tcMar>
            <w:vAlign w:val="center"/>
          </w:tcPr>
          <w:p w14:paraId="2FD3268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Broad review; Conference review</w:t>
            </w:r>
          </w:p>
        </w:tc>
        <w:tc>
          <w:tcPr>
            <w:tcW w:w="2590" w:type="dxa"/>
            <w:tcMar>
              <w:top w:w="20" w:type="dxa"/>
              <w:left w:w="30" w:type="dxa"/>
              <w:bottom w:w="20" w:type="dxa"/>
              <w:right w:w="30" w:type="dxa"/>
            </w:tcMar>
            <w:vAlign w:val="center"/>
          </w:tcPr>
          <w:p w14:paraId="527B008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Summarizes evolution, applications, and future issues</w:t>
            </w:r>
          </w:p>
        </w:tc>
        <w:tc>
          <w:tcPr>
            <w:tcW w:w="2590" w:type="dxa"/>
            <w:tcMar>
              <w:top w:w="20" w:type="dxa"/>
              <w:left w:w="30" w:type="dxa"/>
              <w:bottom w:w="20" w:type="dxa"/>
              <w:right w:w="30" w:type="dxa"/>
            </w:tcMar>
            <w:vAlign w:val="center"/>
          </w:tcPr>
          <w:p w14:paraId="53CF5CC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Broad scope and limited finance specificity</w:t>
            </w:r>
          </w:p>
        </w:tc>
        <w:tc>
          <w:tcPr>
            <w:tcW w:w="2590" w:type="dxa"/>
            <w:tcMar>
              <w:top w:w="20" w:type="dxa"/>
              <w:left w:w="30" w:type="dxa"/>
              <w:bottom w:w="20" w:type="dxa"/>
              <w:right w:w="30" w:type="dxa"/>
            </w:tcMar>
            <w:vAlign w:val="center"/>
          </w:tcPr>
          <w:p w14:paraId="5527518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C</w:t>
            </w:r>
          </w:p>
        </w:tc>
      </w:tr>
      <w:tr w14:paraId="5FC73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06671D2">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[53] </w:t>
            </w:r>
          </w:p>
        </w:tc>
        <w:tc>
          <w:tcPr>
            <w:tcW w:w="2590" w:type="dxa"/>
            <w:tcMar>
              <w:top w:w="20" w:type="dxa"/>
              <w:left w:w="30" w:type="dxa"/>
              <w:bottom w:w="20" w:type="dxa"/>
              <w:right w:w="30" w:type="dxa"/>
            </w:tcMar>
            <w:vAlign w:val="center"/>
          </w:tcPr>
          <w:p w14:paraId="65293F9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Cloud migration</w:t>
            </w:r>
          </w:p>
        </w:tc>
        <w:tc>
          <w:tcPr>
            <w:tcW w:w="2590" w:type="dxa"/>
            <w:tcMar>
              <w:top w:w="20" w:type="dxa"/>
              <w:left w:w="30" w:type="dxa"/>
              <w:bottom w:w="20" w:type="dxa"/>
              <w:right w:w="30" w:type="dxa"/>
            </w:tcMar>
            <w:vAlign w:val="center"/>
          </w:tcPr>
          <w:p w14:paraId="7A791D1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Risk-analysis systematic review; Literature synthesis</w:t>
            </w:r>
          </w:p>
        </w:tc>
        <w:tc>
          <w:tcPr>
            <w:tcW w:w="2590" w:type="dxa"/>
            <w:tcMar>
              <w:top w:w="20" w:type="dxa"/>
              <w:left w:w="30" w:type="dxa"/>
              <w:bottom w:w="20" w:type="dxa"/>
              <w:right w:w="30" w:type="dxa"/>
            </w:tcMar>
            <w:vAlign w:val="center"/>
          </w:tcPr>
          <w:p w14:paraId="135E76D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Identifies security and operational risks in cloud processing</w:t>
            </w:r>
          </w:p>
        </w:tc>
        <w:tc>
          <w:tcPr>
            <w:tcW w:w="2590" w:type="dxa"/>
            <w:tcMar>
              <w:top w:w="20" w:type="dxa"/>
              <w:left w:w="30" w:type="dxa"/>
              <w:bottom w:w="20" w:type="dxa"/>
              <w:right w:w="30" w:type="dxa"/>
            </w:tcMar>
            <w:vAlign w:val="center"/>
          </w:tcPr>
          <w:p w14:paraId="2A00F9E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Indirect relevance to financial data privacy</w:t>
            </w:r>
          </w:p>
        </w:tc>
        <w:tc>
          <w:tcPr>
            <w:tcW w:w="2590" w:type="dxa"/>
            <w:tcMar>
              <w:top w:w="20" w:type="dxa"/>
              <w:left w:w="30" w:type="dxa"/>
              <w:bottom w:w="20" w:type="dxa"/>
              <w:right w:w="30" w:type="dxa"/>
            </w:tcMar>
            <w:vAlign w:val="center"/>
          </w:tcPr>
          <w:p w14:paraId="027F114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1039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6773890">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[54] </w:t>
            </w:r>
          </w:p>
        </w:tc>
        <w:tc>
          <w:tcPr>
            <w:tcW w:w="2590" w:type="dxa"/>
            <w:tcMar>
              <w:top w:w="20" w:type="dxa"/>
              <w:left w:w="30" w:type="dxa"/>
              <w:bottom w:w="20" w:type="dxa"/>
              <w:right w:w="30" w:type="dxa"/>
            </w:tcMar>
            <w:vAlign w:val="center"/>
          </w:tcPr>
          <w:p w14:paraId="16C1BFD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Post-hoc XAI and law</w:t>
            </w:r>
          </w:p>
        </w:tc>
        <w:tc>
          <w:tcPr>
            <w:tcW w:w="2590" w:type="dxa"/>
            <w:tcMar>
              <w:top w:w="20" w:type="dxa"/>
              <w:left w:w="30" w:type="dxa"/>
              <w:bottom w:w="20" w:type="dxa"/>
              <w:right w:w="30" w:type="dxa"/>
            </w:tcMar>
            <w:vAlign w:val="center"/>
          </w:tcPr>
          <w:p w14:paraId="21EA22B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Legal-risk analysis; Doctrinal and method review</w:t>
            </w:r>
          </w:p>
        </w:tc>
        <w:tc>
          <w:tcPr>
            <w:tcW w:w="2590" w:type="dxa"/>
            <w:tcMar>
              <w:top w:w="20" w:type="dxa"/>
              <w:left w:w="30" w:type="dxa"/>
              <w:bottom w:w="20" w:type="dxa"/>
              <w:right w:w="30" w:type="dxa"/>
            </w:tcMar>
            <w:vAlign w:val="center"/>
          </w:tcPr>
          <w:p w14:paraId="2E422DA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Explains limits of post-hoc explanation for discrimination law</w:t>
            </w:r>
          </w:p>
        </w:tc>
        <w:tc>
          <w:tcPr>
            <w:tcW w:w="2590" w:type="dxa"/>
            <w:tcMar>
              <w:top w:w="20" w:type="dxa"/>
              <w:left w:w="30" w:type="dxa"/>
              <w:bottom w:w="20" w:type="dxa"/>
              <w:right w:w="30" w:type="dxa"/>
            </w:tcMar>
            <w:vAlign w:val="center"/>
          </w:tcPr>
          <w:p w14:paraId="3BDF415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Not LLM-specific</w:t>
            </w:r>
          </w:p>
        </w:tc>
        <w:tc>
          <w:tcPr>
            <w:tcW w:w="2590" w:type="dxa"/>
            <w:tcMar>
              <w:top w:w="20" w:type="dxa"/>
              <w:left w:w="30" w:type="dxa"/>
              <w:bottom w:w="20" w:type="dxa"/>
              <w:right w:w="30" w:type="dxa"/>
            </w:tcMar>
            <w:vAlign w:val="center"/>
          </w:tcPr>
          <w:p w14:paraId="7EDA1A8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XAI / C</w:t>
            </w:r>
          </w:p>
        </w:tc>
      </w:tr>
      <w:tr w14:paraId="5C02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CFCBF55">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[55] </w:t>
            </w:r>
          </w:p>
        </w:tc>
        <w:tc>
          <w:tcPr>
            <w:tcW w:w="2590" w:type="dxa"/>
            <w:tcMar>
              <w:top w:w="20" w:type="dxa"/>
              <w:left w:w="30" w:type="dxa"/>
              <w:bottom w:w="20" w:type="dxa"/>
              <w:right w:w="30" w:type="dxa"/>
            </w:tcMar>
            <w:vAlign w:val="center"/>
          </w:tcPr>
          <w:p w14:paraId="7744F35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bias</w:t>
            </w:r>
          </w:p>
        </w:tc>
        <w:tc>
          <w:tcPr>
            <w:tcW w:w="2590" w:type="dxa"/>
            <w:tcMar>
              <w:top w:w="20" w:type="dxa"/>
              <w:left w:w="30" w:type="dxa"/>
              <w:bottom w:w="20" w:type="dxa"/>
              <w:right w:w="30" w:type="dxa"/>
            </w:tcMar>
            <w:vAlign w:val="center"/>
          </w:tcPr>
          <w:p w14:paraId="2B38848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Bias-amplification benchmark; NLP dataset and model evaluation</w:t>
            </w:r>
          </w:p>
        </w:tc>
        <w:tc>
          <w:tcPr>
            <w:tcW w:w="2590" w:type="dxa"/>
            <w:tcMar>
              <w:top w:w="20" w:type="dxa"/>
              <w:left w:w="30" w:type="dxa"/>
              <w:bottom w:w="20" w:type="dxa"/>
              <w:right w:w="30" w:type="dxa"/>
            </w:tcMar>
            <w:vAlign w:val="center"/>
          </w:tcPr>
          <w:p w14:paraId="32404DB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Tests increasing bias in generated media</w:t>
            </w:r>
          </w:p>
        </w:tc>
        <w:tc>
          <w:tcPr>
            <w:tcW w:w="2590" w:type="dxa"/>
            <w:tcMar>
              <w:top w:w="20" w:type="dxa"/>
              <w:left w:w="30" w:type="dxa"/>
              <w:bottom w:w="20" w:type="dxa"/>
              <w:right w:w="30" w:type="dxa"/>
            </w:tcMar>
            <w:vAlign w:val="center"/>
          </w:tcPr>
          <w:p w14:paraId="67F21AD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Not finance-specific</w:t>
            </w:r>
          </w:p>
        </w:tc>
        <w:tc>
          <w:tcPr>
            <w:tcW w:w="2590" w:type="dxa"/>
            <w:tcMar>
              <w:top w:w="20" w:type="dxa"/>
              <w:left w:w="30" w:type="dxa"/>
              <w:bottom w:w="20" w:type="dxa"/>
              <w:right w:w="30" w:type="dxa"/>
            </w:tcMar>
            <w:vAlign w:val="center"/>
          </w:tcPr>
          <w:p w14:paraId="4DFC1D7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A</w:t>
            </w:r>
          </w:p>
        </w:tc>
      </w:tr>
      <w:tr w14:paraId="2902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51BC77B">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[56] </w:t>
            </w:r>
          </w:p>
        </w:tc>
        <w:tc>
          <w:tcPr>
            <w:tcW w:w="2590" w:type="dxa"/>
            <w:tcMar>
              <w:top w:w="20" w:type="dxa"/>
              <w:left w:w="30" w:type="dxa"/>
              <w:bottom w:w="20" w:type="dxa"/>
              <w:right w:w="30" w:type="dxa"/>
            </w:tcMar>
            <w:vAlign w:val="center"/>
          </w:tcPr>
          <w:p w14:paraId="65C07EB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Judiciary and EU AI Act</w:t>
            </w:r>
          </w:p>
        </w:tc>
        <w:tc>
          <w:tcPr>
            <w:tcW w:w="2590" w:type="dxa"/>
            <w:tcMar>
              <w:top w:w="20" w:type="dxa"/>
              <w:left w:w="30" w:type="dxa"/>
              <w:bottom w:w="20" w:type="dxa"/>
              <w:right w:w="30" w:type="dxa"/>
            </w:tcMar>
            <w:vAlign w:val="center"/>
          </w:tcPr>
          <w:p w14:paraId="24C9314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Accountability-framework analysis; Legal analysis</w:t>
            </w:r>
          </w:p>
        </w:tc>
        <w:tc>
          <w:tcPr>
            <w:tcW w:w="2590" w:type="dxa"/>
            <w:tcMar>
              <w:top w:w="20" w:type="dxa"/>
              <w:left w:w="30" w:type="dxa"/>
              <w:bottom w:w="20" w:type="dxa"/>
              <w:right w:w="30" w:type="dxa"/>
            </w:tcMar>
            <w:vAlign w:val="center"/>
          </w:tcPr>
          <w:p w14:paraId="5575517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Examines generative-AI responsibility under regulation</w:t>
            </w:r>
          </w:p>
        </w:tc>
        <w:tc>
          <w:tcPr>
            <w:tcW w:w="2590" w:type="dxa"/>
            <w:tcMar>
              <w:top w:w="20" w:type="dxa"/>
              <w:left w:w="30" w:type="dxa"/>
              <w:bottom w:w="20" w:type="dxa"/>
              <w:right w:w="30" w:type="dxa"/>
            </w:tcMar>
            <w:vAlign w:val="center"/>
          </w:tcPr>
          <w:p w14:paraId="10C3B4D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Judicial context; transferable governance logic</w:t>
            </w:r>
          </w:p>
        </w:tc>
        <w:tc>
          <w:tcPr>
            <w:tcW w:w="2590" w:type="dxa"/>
            <w:tcMar>
              <w:top w:w="20" w:type="dxa"/>
              <w:left w:w="30" w:type="dxa"/>
              <w:bottom w:w="20" w:type="dxa"/>
              <w:right w:w="30" w:type="dxa"/>
            </w:tcMar>
            <w:vAlign w:val="center"/>
          </w:tcPr>
          <w:p w14:paraId="3EFDC88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782A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2F8CFBE">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[57] </w:t>
            </w:r>
          </w:p>
        </w:tc>
        <w:tc>
          <w:tcPr>
            <w:tcW w:w="2590" w:type="dxa"/>
            <w:tcMar>
              <w:top w:w="20" w:type="dxa"/>
              <w:left w:w="30" w:type="dxa"/>
              <w:bottom w:w="20" w:type="dxa"/>
              <w:right w:w="30" w:type="dxa"/>
            </w:tcMar>
            <w:vAlign w:val="center"/>
          </w:tcPr>
          <w:p w14:paraId="0E4685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Ontology and RAG</w:t>
            </w:r>
          </w:p>
        </w:tc>
        <w:tc>
          <w:tcPr>
            <w:tcW w:w="2590" w:type="dxa"/>
            <w:tcMar>
              <w:top w:w="20" w:type="dxa"/>
              <w:left w:w="30" w:type="dxa"/>
              <w:bottom w:w="20" w:type="dxa"/>
              <w:right w:w="30" w:type="dxa"/>
            </w:tcMar>
            <w:vAlign w:val="center"/>
          </w:tcPr>
          <w:p w14:paraId="428A40F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Ontology-integrated RAG implementation; System design and demonstration</w:t>
            </w:r>
          </w:p>
        </w:tc>
        <w:tc>
          <w:tcPr>
            <w:tcW w:w="2590" w:type="dxa"/>
            <w:tcMar>
              <w:top w:w="20" w:type="dxa"/>
              <w:left w:w="30" w:type="dxa"/>
              <w:bottom w:w="20" w:type="dxa"/>
              <w:right w:w="30" w:type="dxa"/>
            </w:tcMar>
            <w:vAlign w:val="center"/>
          </w:tcPr>
          <w:p w14:paraId="4CEAD06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controlled knowledge structures for retrieval</w:t>
            </w:r>
          </w:p>
        </w:tc>
        <w:tc>
          <w:tcPr>
            <w:tcW w:w="2590" w:type="dxa"/>
            <w:tcMar>
              <w:top w:w="20" w:type="dxa"/>
              <w:left w:w="30" w:type="dxa"/>
              <w:bottom w:w="20" w:type="dxa"/>
              <w:right w:w="30" w:type="dxa"/>
            </w:tcMar>
            <w:vAlign w:val="center"/>
          </w:tcPr>
          <w:p w14:paraId="674980E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Application-specific demonstration</w:t>
            </w:r>
          </w:p>
        </w:tc>
        <w:tc>
          <w:tcPr>
            <w:tcW w:w="2590" w:type="dxa"/>
            <w:tcMar>
              <w:top w:w="20" w:type="dxa"/>
              <w:left w:w="30" w:type="dxa"/>
              <w:bottom w:w="20" w:type="dxa"/>
              <w:right w:w="30" w:type="dxa"/>
            </w:tcMar>
            <w:vAlign w:val="center"/>
          </w:tcPr>
          <w:p w14:paraId="09E3832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design / B</w:t>
            </w:r>
          </w:p>
        </w:tc>
      </w:tr>
      <w:tr w14:paraId="12A2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054AAAD5">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[58] </w:t>
            </w:r>
          </w:p>
        </w:tc>
        <w:tc>
          <w:tcPr>
            <w:tcW w:w="2590" w:type="dxa"/>
            <w:tcMar>
              <w:top w:w="20" w:type="dxa"/>
              <w:left w:w="30" w:type="dxa"/>
              <w:bottom w:w="20" w:type="dxa"/>
              <w:right w:w="30" w:type="dxa"/>
            </w:tcMar>
            <w:vAlign w:val="center"/>
          </w:tcPr>
          <w:p w14:paraId="1C885B9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Subject indexing</w:t>
            </w:r>
          </w:p>
        </w:tc>
        <w:tc>
          <w:tcPr>
            <w:tcW w:w="2590" w:type="dxa"/>
            <w:tcMar>
              <w:top w:w="20" w:type="dxa"/>
              <w:left w:w="30" w:type="dxa"/>
              <w:bottom w:w="20" w:type="dxa"/>
              <w:right w:w="30" w:type="dxa"/>
            </w:tcMar>
            <w:vAlign w:val="center"/>
          </w:tcPr>
          <w:p w14:paraId="362F4C4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fine-tuning and controlled vocabulary; Model evaluation</w:t>
            </w:r>
          </w:p>
        </w:tc>
        <w:tc>
          <w:tcPr>
            <w:tcW w:w="2590" w:type="dxa"/>
            <w:tcMar>
              <w:top w:w="20" w:type="dxa"/>
              <w:left w:w="30" w:type="dxa"/>
              <w:bottom w:w="20" w:type="dxa"/>
              <w:right w:w="30" w:type="dxa"/>
            </w:tcMar>
            <w:vAlign w:val="center"/>
          </w:tcPr>
          <w:p w14:paraId="4F8E537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Tests controlled vocabulary retrieval and fine-tuning</w:t>
            </w:r>
          </w:p>
        </w:tc>
        <w:tc>
          <w:tcPr>
            <w:tcW w:w="2590" w:type="dxa"/>
            <w:tcMar>
              <w:top w:w="20" w:type="dxa"/>
              <w:left w:w="30" w:type="dxa"/>
              <w:bottom w:w="20" w:type="dxa"/>
              <w:right w:w="30" w:type="dxa"/>
            </w:tcMar>
            <w:vAlign w:val="center"/>
          </w:tcPr>
          <w:p w14:paraId="222549B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Information-management task</w:t>
            </w:r>
          </w:p>
        </w:tc>
        <w:tc>
          <w:tcPr>
            <w:tcW w:w="2590" w:type="dxa"/>
            <w:tcMar>
              <w:top w:w="20" w:type="dxa"/>
              <w:left w:w="30" w:type="dxa"/>
              <w:bottom w:w="20" w:type="dxa"/>
              <w:right w:w="30" w:type="dxa"/>
            </w:tcMar>
            <w:vAlign w:val="center"/>
          </w:tcPr>
          <w:p w14:paraId="0B889AA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design / A</w:t>
            </w:r>
          </w:p>
        </w:tc>
      </w:tr>
      <w:tr w14:paraId="3D47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1C4AF578">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[59] </w:t>
            </w:r>
          </w:p>
        </w:tc>
        <w:tc>
          <w:tcPr>
            <w:tcW w:w="2590" w:type="dxa"/>
            <w:tcMar>
              <w:top w:w="20" w:type="dxa"/>
              <w:left w:w="30" w:type="dxa"/>
              <w:bottom w:w="20" w:type="dxa"/>
              <w:right w:w="30" w:type="dxa"/>
            </w:tcMar>
            <w:vAlign w:val="center"/>
          </w:tcPr>
          <w:p w14:paraId="02B7BF6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High-stakes hallucination control</w:t>
            </w:r>
          </w:p>
        </w:tc>
        <w:tc>
          <w:tcPr>
            <w:tcW w:w="2590" w:type="dxa"/>
            <w:tcMar>
              <w:top w:w="20" w:type="dxa"/>
              <w:left w:w="30" w:type="dxa"/>
              <w:bottom w:w="20" w:type="dxa"/>
              <w:right w:w="30" w:type="dxa"/>
            </w:tcMar>
            <w:vAlign w:val="center"/>
          </w:tcPr>
          <w:p w14:paraId="5E37B9B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Tutorial framework; Tutorial synthesis</w:t>
            </w:r>
          </w:p>
        </w:tc>
        <w:tc>
          <w:tcPr>
            <w:tcW w:w="2590" w:type="dxa"/>
            <w:tcMar>
              <w:top w:w="20" w:type="dxa"/>
              <w:left w:w="30" w:type="dxa"/>
              <w:bottom w:w="20" w:type="dxa"/>
              <w:right w:w="30" w:type="dxa"/>
            </w:tcMar>
            <w:vAlign w:val="center"/>
          </w:tcPr>
          <w:p w14:paraId="1ADBE09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Organizes layered mitigation mechanisms</w:t>
            </w:r>
          </w:p>
        </w:tc>
        <w:tc>
          <w:tcPr>
            <w:tcW w:w="2590" w:type="dxa"/>
            <w:tcMar>
              <w:top w:w="20" w:type="dxa"/>
              <w:left w:w="30" w:type="dxa"/>
              <w:bottom w:w="20" w:type="dxa"/>
              <w:right w:w="30" w:type="dxa"/>
            </w:tcMar>
            <w:vAlign w:val="center"/>
          </w:tcPr>
          <w:p w14:paraId="00440C8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Tutorial; no financial deployment test</w:t>
            </w:r>
          </w:p>
        </w:tc>
        <w:tc>
          <w:tcPr>
            <w:tcW w:w="2590" w:type="dxa"/>
            <w:tcMar>
              <w:top w:w="20" w:type="dxa"/>
              <w:left w:w="30" w:type="dxa"/>
              <w:bottom w:w="20" w:type="dxa"/>
              <w:right w:w="30" w:type="dxa"/>
            </w:tcMar>
            <w:vAlign w:val="center"/>
          </w:tcPr>
          <w:p w14:paraId="4DA13A5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C</w:t>
            </w:r>
          </w:p>
        </w:tc>
      </w:tr>
      <w:tr w14:paraId="0717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1F0E2D1">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[60] </w:t>
            </w:r>
          </w:p>
        </w:tc>
        <w:tc>
          <w:tcPr>
            <w:tcW w:w="2590" w:type="dxa"/>
            <w:tcMar>
              <w:top w:w="20" w:type="dxa"/>
              <w:left w:w="30" w:type="dxa"/>
              <w:bottom w:w="20" w:type="dxa"/>
              <w:right w:w="30" w:type="dxa"/>
            </w:tcMar>
            <w:vAlign w:val="center"/>
          </w:tcPr>
          <w:p w14:paraId="413A6BC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Medical staging</w:t>
            </w:r>
          </w:p>
        </w:tc>
        <w:tc>
          <w:tcPr>
            <w:tcW w:w="2590" w:type="dxa"/>
            <w:tcMar>
              <w:top w:w="20" w:type="dxa"/>
              <w:left w:w="30" w:type="dxa"/>
              <w:bottom w:w="20" w:type="dxa"/>
              <w:right w:w="30" w:type="dxa"/>
            </w:tcMar>
            <w:vAlign w:val="center"/>
          </w:tcPr>
          <w:p w14:paraId="7944A07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NotebookLM RAG application; Clinical application evaluation</w:t>
            </w:r>
          </w:p>
        </w:tc>
        <w:tc>
          <w:tcPr>
            <w:tcW w:w="2590" w:type="dxa"/>
            <w:tcMar>
              <w:top w:w="20" w:type="dxa"/>
              <w:left w:w="30" w:type="dxa"/>
              <w:bottom w:w="20" w:type="dxa"/>
              <w:right w:w="30" w:type="dxa"/>
            </w:tcMar>
            <w:vAlign w:val="center"/>
          </w:tcPr>
          <w:p w14:paraId="58CC7E1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Tests locatable evidence in a high-stakes domain</w:t>
            </w:r>
          </w:p>
        </w:tc>
        <w:tc>
          <w:tcPr>
            <w:tcW w:w="2590" w:type="dxa"/>
            <w:tcMar>
              <w:top w:w="20" w:type="dxa"/>
              <w:left w:w="30" w:type="dxa"/>
              <w:bottom w:w="20" w:type="dxa"/>
              <w:right w:w="30" w:type="dxa"/>
            </w:tcMar>
            <w:vAlign w:val="center"/>
          </w:tcPr>
          <w:p w14:paraId="380D632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Medical context; finance transfer requires testing</w:t>
            </w:r>
          </w:p>
        </w:tc>
        <w:tc>
          <w:tcPr>
            <w:tcW w:w="2590" w:type="dxa"/>
            <w:tcMar>
              <w:top w:w="20" w:type="dxa"/>
              <w:left w:w="30" w:type="dxa"/>
              <w:bottom w:w="20" w:type="dxa"/>
              <w:right w:w="30" w:type="dxa"/>
            </w:tcMar>
            <w:vAlign w:val="center"/>
          </w:tcPr>
          <w:p w14:paraId="74A207F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 A</w:t>
            </w:r>
          </w:p>
        </w:tc>
      </w:tr>
      <w:tr w14:paraId="1968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B84CCFE">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[61] </w:t>
            </w:r>
          </w:p>
        </w:tc>
        <w:tc>
          <w:tcPr>
            <w:tcW w:w="2590" w:type="dxa"/>
            <w:tcMar>
              <w:top w:w="20" w:type="dxa"/>
              <w:left w:w="30" w:type="dxa"/>
              <w:bottom w:w="20" w:type="dxa"/>
              <w:right w:w="30" w:type="dxa"/>
            </w:tcMar>
            <w:vAlign w:val="center"/>
          </w:tcPr>
          <w:p w14:paraId="20B8E96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Construction management QA</w:t>
            </w:r>
          </w:p>
        </w:tc>
        <w:tc>
          <w:tcPr>
            <w:tcW w:w="2590" w:type="dxa"/>
            <w:tcMar>
              <w:top w:w="20" w:type="dxa"/>
              <w:left w:w="30" w:type="dxa"/>
              <w:bottom w:w="20" w:type="dxa"/>
              <w:right w:w="30" w:type="dxa"/>
            </w:tcMar>
            <w:vAlign w:val="center"/>
          </w:tcPr>
          <w:p w14:paraId="70DF69B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knowledge plus fine-tuning; Domain QA experiment</w:t>
            </w:r>
          </w:p>
        </w:tc>
        <w:tc>
          <w:tcPr>
            <w:tcW w:w="2590" w:type="dxa"/>
            <w:tcMar>
              <w:top w:w="20" w:type="dxa"/>
              <w:left w:w="30" w:type="dxa"/>
              <w:bottom w:w="20" w:type="dxa"/>
              <w:right w:w="30" w:type="dxa"/>
            </w:tcMar>
            <w:vAlign w:val="center"/>
          </w:tcPr>
          <w:p w14:paraId="45E8568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gains from combining domain resources and fine-tuning</w:t>
            </w:r>
          </w:p>
        </w:tc>
        <w:tc>
          <w:tcPr>
            <w:tcW w:w="2590" w:type="dxa"/>
            <w:tcMar>
              <w:top w:w="20" w:type="dxa"/>
              <w:left w:w="30" w:type="dxa"/>
              <w:bottom w:w="20" w:type="dxa"/>
              <w:right w:w="30" w:type="dxa"/>
            </w:tcMar>
            <w:vAlign w:val="center"/>
          </w:tcPr>
          <w:p w14:paraId="7D4C04A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Non-financial domain</w:t>
            </w:r>
          </w:p>
        </w:tc>
        <w:tc>
          <w:tcPr>
            <w:tcW w:w="2590" w:type="dxa"/>
            <w:tcMar>
              <w:top w:w="20" w:type="dxa"/>
              <w:left w:w="30" w:type="dxa"/>
              <w:bottom w:w="20" w:type="dxa"/>
              <w:right w:w="30" w:type="dxa"/>
            </w:tcMar>
            <w:vAlign w:val="center"/>
          </w:tcPr>
          <w:p w14:paraId="685B80C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design / A</w:t>
            </w:r>
          </w:p>
        </w:tc>
      </w:tr>
      <w:tr w14:paraId="1290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E801611">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[62] </w:t>
            </w:r>
          </w:p>
        </w:tc>
        <w:tc>
          <w:tcPr>
            <w:tcW w:w="2590" w:type="dxa"/>
            <w:tcMar>
              <w:top w:w="20" w:type="dxa"/>
              <w:left w:w="30" w:type="dxa"/>
              <w:bottom w:w="20" w:type="dxa"/>
              <w:right w:w="30" w:type="dxa"/>
            </w:tcMar>
            <w:vAlign w:val="center"/>
          </w:tcPr>
          <w:p w14:paraId="72DB6DC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Financial sentiment</w:t>
            </w:r>
          </w:p>
        </w:tc>
        <w:tc>
          <w:tcPr>
            <w:tcW w:w="2590" w:type="dxa"/>
            <w:tcMar>
              <w:top w:w="20" w:type="dxa"/>
              <w:left w:w="30" w:type="dxa"/>
              <w:bottom w:w="20" w:type="dxa"/>
              <w:right w:w="30" w:type="dxa"/>
            </w:tcMar>
            <w:vAlign w:val="center"/>
          </w:tcPr>
          <w:p w14:paraId="670E6E4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Distilled CoT model; Model development and evaluation</w:t>
            </w:r>
          </w:p>
        </w:tc>
        <w:tc>
          <w:tcPr>
            <w:tcW w:w="2590" w:type="dxa"/>
            <w:tcMar>
              <w:top w:w="20" w:type="dxa"/>
              <w:left w:w="30" w:type="dxa"/>
              <w:bottom w:w="20" w:type="dxa"/>
              <w:right w:w="30" w:type="dxa"/>
            </w:tcMar>
            <w:vAlign w:val="center"/>
          </w:tcPr>
          <w:p w14:paraId="2FAACDC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Tests financial sentiment reasoning and distillation</w:t>
            </w:r>
          </w:p>
        </w:tc>
        <w:tc>
          <w:tcPr>
            <w:tcW w:w="2590" w:type="dxa"/>
            <w:tcMar>
              <w:top w:w="20" w:type="dxa"/>
              <w:left w:w="30" w:type="dxa"/>
              <w:bottom w:w="20" w:type="dxa"/>
              <w:right w:w="30" w:type="dxa"/>
            </w:tcMar>
            <w:vAlign w:val="center"/>
          </w:tcPr>
          <w:p w14:paraId="46A60A0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Task-specific and early evidence</w:t>
            </w:r>
          </w:p>
        </w:tc>
        <w:tc>
          <w:tcPr>
            <w:tcW w:w="2590" w:type="dxa"/>
            <w:tcMar>
              <w:top w:w="20" w:type="dxa"/>
              <w:left w:w="30" w:type="dxa"/>
              <w:bottom w:w="20" w:type="dxa"/>
              <w:right w:w="30" w:type="dxa"/>
            </w:tcMar>
            <w:vAlign w:val="center"/>
          </w:tcPr>
          <w:p w14:paraId="6ADBEFE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Domain design / A</w:t>
            </w:r>
          </w:p>
        </w:tc>
      </w:tr>
      <w:tr w14:paraId="5F25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ED85F96">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[63] </w:t>
            </w:r>
          </w:p>
        </w:tc>
        <w:tc>
          <w:tcPr>
            <w:tcW w:w="2590" w:type="dxa"/>
            <w:tcMar>
              <w:top w:w="20" w:type="dxa"/>
              <w:left w:w="30" w:type="dxa"/>
              <w:bottom w:w="20" w:type="dxa"/>
              <w:right w:w="30" w:type="dxa"/>
            </w:tcMar>
            <w:vAlign w:val="center"/>
          </w:tcPr>
          <w:p w14:paraId="3DD7CF7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Visual question answering</w:t>
            </w:r>
          </w:p>
        </w:tc>
        <w:tc>
          <w:tcPr>
            <w:tcW w:w="2590" w:type="dxa"/>
            <w:tcMar>
              <w:top w:w="20" w:type="dxa"/>
              <w:left w:w="30" w:type="dxa"/>
              <w:bottom w:w="20" w:type="dxa"/>
              <w:right w:w="30" w:type="dxa"/>
            </w:tcMar>
            <w:vAlign w:val="center"/>
          </w:tcPr>
          <w:p w14:paraId="1B3ED72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Knowledge-guided mixture of experts; Model development and benchmark</w:t>
            </w:r>
          </w:p>
        </w:tc>
        <w:tc>
          <w:tcPr>
            <w:tcW w:w="2590" w:type="dxa"/>
            <w:tcMar>
              <w:top w:w="20" w:type="dxa"/>
              <w:left w:w="30" w:type="dxa"/>
              <w:bottom w:w="20" w:type="dxa"/>
              <w:right w:w="30" w:type="dxa"/>
            </w:tcMar>
            <w:vAlign w:val="center"/>
          </w:tcPr>
          <w:p w14:paraId="54CFF11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Shows task decomposition and expert routing</w:t>
            </w:r>
          </w:p>
        </w:tc>
        <w:tc>
          <w:tcPr>
            <w:tcW w:w="2590" w:type="dxa"/>
            <w:tcMar>
              <w:top w:w="20" w:type="dxa"/>
              <w:left w:w="30" w:type="dxa"/>
              <w:bottom w:w="20" w:type="dxa"/>
              <w:right w:w="30" w:type="dxa"/>
            </w:tcMar>
            <w:vAlign w:val="center"/>
          </w:tcPr>
          <w:p w14:paraId="4860F2F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Non-financial visual QA</w:t>
            </w:r>
          </w:p>
        </w:tc>
        <w:tc>
          <w:tcPr>
            <w:tcW w:w="2590" w:type="dxa"/>
            <w:tcMar>
              <w:top w:w="20" w:type="dxa"/>
              <w:left w:w="30" w:type="dxa"/>
              <w:bottom w:w="20" w:type="dxa"/>
              <w:right w:w="30" w:type="dxa"/>
            </w:tcMar>
            <w:vAlign w:val="center"/>
          </w:tcPr>
          <w:p w14:paraId="4A55F85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A</w:t>
            </w:r>
          </w:p>
        </w:tc>
      </w:tr>
      <w:tr w14:paraId="125E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34824F5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[64] </w:t>
            </w:r>
          </w:p>
        </w:tc>
        <w:tc>
          <w:tcPr>
            <w:tcW w:w="2590" w:type="dxa"/>
            <w:tcMar>
              <w:top w:w="20" w:type="dxa"/>
              <w:left w:w="30" w:type="dxa"/>
              <w:bottom w:w="20" w:type="dxa"/>
              <w:right w:w="30" w:type="dxa"/>
            </w:tcMar>
            <w:vAlign w:val="center"/>
          </w:tcPr>
          <w:p w14:paraId="062A257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Unified multimodal LLMs</w:t>
            </w:r>
          </w:p>
        </w:tc>
        <w:tc>
          <w:tcPr>
            <w:tcW w:w="2590" w:type="dxa"/>
            <w:tcMar>
              <w:top w:w="20" w:type="dxa"/>
              <w:left w:w="30" w:type="dxa"/>
              <w:bottom w:w="20" w:type="dxa"/>
              <w:right w:w="30" w:type="dxa"/>
            </w:tcMar>
            <w:vAlign w:val="center"/>
          </w:tcPr>
          <w:p w14:paraId="19EBA81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Mixture-of-experts model; Model development and benchmark</w:t>
            </w:r>
          </w:p>
        </w:tc>
        <w:tc>
          <w:tcPr>
            <w:tcW w:w="2590" w:type="dxa"/>
            <w:tcMar>
              <w:top w:w="20" w:type="dxa"/>
              <w:left w:w="30" w:type="dxa"/>
              <w:bottom w:w="20" w:type="dxa"/>
              <w:right w:w="30" w:type="dxa"/>
            </w:tcMar>
            <w:vAlign w:val="center"/>
          </w:tcPr>
          <w:p w14:paraId="009D134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Demonstrates modality-specific expert routing</w:t>
            </w:r>
          </w:p>
        </w:tc>
        <w:tc>
          <w:tcPr>
            <w:tcW w:w="2590" w:type="dxa"/>
            <w:tcMar>
              <w:top w:w="20" w:type="dxa"/>
              <w:left w:w="30" w:type="dxa"/>
              <w:bottom w:w="20" w:type="dxa"/>
              <w:right w:w="30" w:type="dxa"/>
            </w:tcMar>
            <w:vAlign w:val="center"/>
          </w:tcPr>
          <w:p w14:paraId="24F8CA0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benchmark</w:t>
            </w:r>
          </w:p>
        </w:tc>
        <w:tc>
          <w:tcPr>
            <w:tcW w:w="2590" w:type="dxa"/>
            <w:tcMar>
              <w:top w:w="20" w:type="dxa"/>
              <w:left w:w="30" w:type="dxa"/>
              <w:bottom w:w="20" w:type="dxa"/>
              <w:right w:w="30" w:type="dxa"/>
            </w:tcMar>
            <w:vAlign w:val="center"/>
          </w:tcPr>
          <w:p w14:paraId="776C575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A</w:t>
            </w:r>
          </w:p>
        </w:tc>
      </w:tr>
      <w:tr w14:paraId="3892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5CEFACA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[65] </w:t>
            </w:r>
          </w:p>
        </w:tc>
        <w:tc>
          <w:tcPr>
            <w:tcW w:w="2590" w:type="dxa"/>
            <w:tcMar>
              <w:top w:w="20" w:type="dxa"/>
              <w:left w:w="30" w:type="dxa"/>
              <w:bottom w:w="20" w:type="dxa"/>
              <w:right w:w="30" w:type="dxa"/>
            </w:tcMar>
            <w:vAlign w:val="center"/>
          </w:tcPr>
          <w:p w14:paraId="71BF00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Chart reasoning</w:t>
            </w:r>
          </w:p>
        </w:tc>
        <w:tc>
          <w:tcPr>
            <w:tcW w:w="2590" w:type="dxa"/>
            <w:tcMar>
              <w:top w:w="20" w:type="dxa"/>
              <w:left w:w="30" w:type="dxa"/>
              <w:bottom w:w="20" w:type="dxa"/>
              <w:right w:w="30" w:type="dxa"/>
            </w:tcMar>
            <w:vAlign w:val="center"/>
          </w:tcPr>
          <w:p w14:paraId="4791371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ChartX benchmark and ChartVLM; Benchmark and model development</w:t>
            </w:r>
          </w:p>
        </w:tc>
        <w:tc>
          <w:tcPr>
            <w:tcW w:w="2590" w:type="dxa"/>
            <w:tcMar>
              <w:top w:w="20" w:type="dxa"/>
              <w:left w:w="30" w:type="dxa"/>
              <w:bottom w:w="20" w:type="dxa"/>
              <w:right w:w="30" w:type="dxa"/>
            </w:tcMar>
            <w:vAlign w:val="center"/>
          </w:tcPr>
          <w:p w14:paraId="28FA48B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Evaluates complex chart understanding and reasoning</w:t>
            </w:r>
          </w:p>
        </w:tc>
        <w:tc>
          <w:tcPr>
            <w:tcW w:w="2590" w:type="dxa"/>
            <w:tcMar>
              <w:top w:w="20" w:type="dxa"/>
              <w:left w:w="30" w:type="dxa"/>
              <w:bottom w:w="20" w:type="dxa"/>
              <w:right w:w="30" w:type="dxa"/>
            </w:tcMar>
            <w:vAlign w:val="center"/>
          </w:tcPr>
          <w:p w14:paraId="24C5520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Not finance-specific though directly relevant to financial charts</w:t>
            </w:r>
          </w:p>
        </w:tc>
        <w:tc>
          <w:tcPr>
            <w:tcW w:w="2590" w:type="dxa"/>
            <w:tcMar>
              <w:top w:w="20" w:type="dxa"/>
              <w:left w:w="30" w:type="dxa"/>
              <w:bottom w:w="20" w:type="dxa"/>
              <w:right w:w="30" w:type="dxa"/>
            </w:tcMar>
            <w:vAlign w:val="center"/>
          </w:tcPr>
          <w:p w14:paraId="40E8A87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 A</w:t>
            </w:r>
          </w:p>
        </w:tc>
      </w:tr>
      <w:tr w14:paraId="2DA3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0B58B68">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[66] </w:t>
            </w:r>
          </w:p>
        </w:tc>
        <w:tc>
          <w:tcPr>
            <w:tcW w:w="2590" w:type="dxa"/>
            <w:tcMar>
              <w:top w:w="20" w:type="dxa"/>
              <w:left w:w="30" w:type="dxa"/>
              <w:bottom w:w="20" w:type="dxa"/>
              <w:right w:w="30" w:type="dxa"/>
            </w:tcMar>
            <w:vAlign w:val="center"/>
          </w:tcPr>
          <w:p w14:paraId="7FB2080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China data protection</w:t>
            </w:r>
          </w:p>
        </w:tc>
        <w:tc>
          <w:tcPr>
            <w:tcW w:w="2590" w:type="dxa"/>
            <w:tcMar>
              <w:top w:w="20" w:type="dxa"/>
              <w:left w:w="30" w:type="dxa"/>
              <w:bottom w:w="20" w:type="dxa"/>
              <w:right w:w="30" w:type="dxa"/>
            </w:tcMar>
            <w:vAlign w:val="center"/>
          </w:tcPr>
          <w:p w14:paraId="6BEA8FB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PIPL legal analysis; Doctrinal analysis</w:t>
            </w:r>
          </w:p>
        </w:tc>
        <w:tc>
          <w:tcPr>
            <w:tcW w:w="2590" w:type="dxa"/>
            <w:tcMar>
              <w:top w:w="20" w:type="dxa"/>
              <w:left w:w="30" w:type="dxa"/>
              <w:bottom w:w="20" w:type="dxa"/>
              <w:right w:w="30" w:type="dxa"/>
            </w:tcMar>
            <w:vAlign w:val="center"/>
          </w:tcPr>
          <w:p w14:paraId="2099437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Clarifies differentiated training and output controls</w:t>
            </w:r>
          </w:p>
        </w:tc>
        <w:tc>
          <w:tcPr>
            <w:tcW w:w="2590" w:type="dxa"/>
            <w:tcMar>
              <w:top w:w="20" w:type="dxa"/>
              <w:left w:w="30" w:type="dxa"/>
              <w:bottom w:w="20" w:type="dxa"/>
              <w:right w:w="30" w:type="dxa"/>
            </w:tcMar>
            <w:vAlign w:val="center"/>
          </w:tcPr>
          <w:p w14:paraId="32BE052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Jurisdiction-specific</w:t>
            </w:r>
          </w:p>
        </w:tc>
        <w:tc>
          <w:tcPr>
            <w:tcW w:w="2590" w:type="dxa"/>
            <w:tcMar>
              <w:top w:w="20" w:type="dxa"/>
              <w:left w:w="30" w:type="dxa"/>
              <w:bottom w:w="20" w:type="dxa"/>
              <w:right w:w="30" w:type="dxa"/>
            </w:tcMar>
            <w:vAlign w:val="center"/>
          </w:tcPr>
          <w:p w14:paraId="3ED933C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731B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9E3A784">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[67] </w:t>
            </w:r>
          </w:p>
        </w:tc>
        <w:tc>
          <w:tcPr>
            <w:tcW w:w="2590" w:type="dxa"/>
            <w:tcMar>
              <w:top w:w="20" w:type="dxa"/>
              <w:left w:w="30" w:type="dxa"/>
              <w:bottom w:w="20" w:type="dxa"/>
              <w:right w:w="30" w:type="dxa"/>
            </w:tcMar>
            <w:vAlign w:val="center"/>
          </w:tcPr>
          <w:p w14:paraId="2D9E68F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Foundation-model systems</w:t>
            </w:r>
          </w:p>
        </w:tc>
        <w:tc>
          <w:tcPr>
            <w:tcW w:w="2590" w:type="dxa"/>
            <w:tcMar>
              <w:top w:w="20" w:type="dxa"/>
              <w:left w:w="30" w:type="dxa"/>
              <w:bottom w:w="20" w:type="dxa"/>
              <w:right w:w="30" w:type="dxa"/>
            </w:tcMar>
            <w:vAlign w:val="center"/>
          </w:tcPr>
          <w:p w14:paraId="312DA8D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Governance-driven reference architecture; Architecture study</w:t>
            </w:r>
          </w:p>
        </w:tc>
        <w:tc>
          <w:tcPr>
            <w:tcW w:w="2590" w:type="dxa"/>
            <w:tcMar>
              <w:top w:w="20" w:type="dxa"/>
              <w:left w:w="30" w:type="dxa"/>
              <w:bottom w:w="20" w:type="dxa"/>
              <w:right w:w="30" w:type="dxa"/>
            </w:tcMar>
            <w:vAlign w:val="center"/>
          </w:tcPr>
          <w:p w14:paraId="3FB41E0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Links architecture and responsibility allocation</w:t>
            </w:r>
          </w:p>
        </w:tc>
        <w:tc>
          <w:tcPr>
            <w:tcW w:w="2590" w:type="dxa"/>
            <w:tcMar>
              <w:top w:w="20" w:type="dxa"/>
              <w:left w:w="30" w:type="dxa"/>
              <w:bottom w:w="20" w:type="dxa"/>
              <w:right w:w="30" w:type="dxa"/>
            </w:tcMar>
            <w:vAlign w:val="center"/>
          </w:tcPr>
          <w:p w14:paraId="7BF089B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Conceptual architecture</w:t>
            </w:r>
          </w:p>
        </w:tc>
        <w:tc>
          <w:tcPr>
            <w:tcW w:w="2590" w:type="dxa"/>
            <w:tcMar>
              <w:top w:w="20" w:type="dxa"/>
              <w:left w:w="30" w:type="dxa"/>
              <w:bottom w:w="20" w:type="dxa"/>
              <w:right w:w="30" w:type="dxa"/>
            </w:tcMar>
            <w:vAlign w:val="center"/>
          </w:tcPr>
          <w:p w14:paraId="55DF505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7D0A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7704F50D">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[68] </w:t>
            </w:r>
          </w:p>
        </w:tc>
        <w:tc>
          <w:tcPr>
            <w:tcW w:w="2590" w:type="dxa"/>
            <w:tcMar>
              <w:top w:w="20" w:type="dxa"/>
              <w:left w:w="30" w:type="dxa"/>
              <w:bottom w:w="20" w:type="dxa"/>
              <w:right w:w="30" w:type="dxa"/>
            </w:tcMar>
            <w:vAlign w:val="center"/>
          </w:tcPr>
          <w:p w14:paraId="1439DA7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red teaming</w:t>
            </w:r>
          </w:p>
        </w:tc>
        <w:tc>
          <w:tcPr>
            <w:tcW w:w="2590" w:type="dxa"/>
            <w:tcMar>
              <w:top w:w="20" w:type="dxa"/>
              <w:left w:w="30" w:type="dxa"/>
              <w:bottom w:w="20" w:type="dxa"/>
              <w:right w:w="30" w:type="dxa"/>
            </w:tcMar>
            <w:vAlign w:val="center"/>
          </w:tcPr>
          <w:p w14:paraId="0A7E48D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Comprehensive review; Literature synthesis</w:t>
            </w:r>
          </w:p>
        </w:tc>
        <w:tc>
          <w:tcPr>
            <w:tcW w:w="2590" w:type="dxa"/>
            <w:tcMar>
              <w:top w:w="20" w:type="dxa"/>
              <w:left w:w="30" w:type="dxa"/>
              <w:bottom w:w="20" w:type="dxa"/>
              <w:right w:w="30" w:type="dxa"/>
            </w:tcMar>
            <w:vAlign w:val="center"/>
          </w:tcPr>
          <w:p w14:paraId="29BC480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Summarizes adversarial evaluation methods</w:t>
            </w:r>
          </w:p>
        </w:tc>
        <w:tc>
          <w:tcPr>
            <w:tcW w:w="2590" w:type="dxa"/>
            <w:tcMar>
              <w:top w:w="20" w:type="dxa"/>
              <w:left w:w="30" w:type="dxa"/>
              <w:bottom w:w="20" w:type="dxa"/>
              <w:right w:w="30" w:type="dxa"/>
            </w:tcMar>
            <w:vAlign w:val="center"/>
          </w:tcPr>
          <w:p w14:paraId="37230C2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Survey; results depend on threat model</w:t>
            </w:r>
          </w:p>
        </w:tc>
        <w:tc>
          <w:tcPr>
            <w:tcW w:w="2590" w:type="dxa"/>
            <w:tcMar>
              <w:top w:w="20" w:type="dxa"/>
              <w:left w:w="30" w:type="dxa"/>
              <w:bottom w:w="20" w:type="dxa"/>
              <w:right w:w="30" w:type="dxa"/>
            </w:tcMar>
            <w:vAlign w:val="center"/>
          </w:tcPr>
          <w:p w14:paraId="569714E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r w14:paraId="0B5C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90" w:type="dxa"/>
            <w:tcMar>
              <w:top w:w="20" w:type="dxa"/>
              <w:left w:w="30" w:type="dxa"/>
              <w:bottom w:w="20" w:type="dxa"/>
              <w:right w:w="30" w:type="dxa"/>
            </w:tcMar>
            <w:vAlign w:val="center"/>
          </w:tcPr>
          <w:p w14:paraId="22A478C9">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[69] </w:t>
            </w:r>
          </w:p>
        </w:tc>
        <w:tc>
          <w:tcPr>
            <w:tcW w:w="2590" w:type="dxa"/>
            <w:tcMar>
              <w:top w:w="20" w:type="dxa"/>
              <w:left w:w="30" w:type="dxa"/>
              <w:bottom w:w="20" w:type="dxa"/>
              <w:right w:w="30" w:type="dxa"/>
            </w:tcMar>
            <w:vAlign w:val="center"/>
          </w:tcPr>
          <w:p w14:paraId="1ABA694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LLM safeguarding</w:t>
            </w:r>
          </w:p>
        </w:tc>
        <w:tc>
          <w:tcPr>
            <w:tcW w:w="2590" w:type="dxa"/>
            <w:tcMar>
              <w:top w:w="20" w:type="dxa"/>
              <w:left w:w="30" w:type="dxa"/>
              <w:bottom w:w="20" w:type="dxa"/>
              <w:right w:w="30" w:type="dxa"/>
            </w:tcMar>
            <w:vAlign w:val="center"/>
          </w:tcPr>
          <w:p w14:paraId="7C665DE0">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Comprehensive survey; Literature synthesis</w:t>
            </w:r>
          </w:p>
        </w:tc>
        <w:tc>
          <w:tcPr>
            <w:tcW w:w="2590" w:type="dxa"/>
            <w:tcMar>
              <w:top w:w="20" w:type="dxa"/>
              <w:left w:w="30" w:type="dxa"/>
              <w:bottom w:w="20" w:type="dxa"/>
              <w:right w:w="30" w:type="dxa"/>
            </w:tcMar>
            <w:vAlign w:val="center"/>
          </w:tcPr>
          <w:p w14:paraId="7E2C4F5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Catalogues guardrails, monitoring, and response</w:t>
            </w:r>
          </w:p>
        </w:tc>
        <w:tc>
          <w:tcPr>
            <w:tcW w:w="2590" w:type="dxa"/>
            <w:tcMar>
              <w:top w:w="20" w:type="dxa"/>
              <w:left w:w="30" w:type="dxa"/>
              <w:bottom w:w="20" w:type="dxa"/>
              <w:right w:w="30" w:type="dxa"/>
            </w:tcMar>
            <w:vAlign w:val="center"/>
          </w:tcPr>
          <w:p w14:paraId="04EC84E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General-domain evidence</w:t>
            </w:r>
          </w:p>
        </w:tc>
        <w:tc>
          <w:tcPr>
            <w:tcW w:w="2590" w:type="dxa"/>
            <w:tcMar>
              <w:top w:w="20" w:type="dxa"/>
              <w:left w:w="30" w:type="dxa"/>
              <w:bottom w:w="20" w:type="dxa"/>
              <w:right w:w="30" w:type="dxa"/>
            </w:tcMar>
            <w:vAlign w:val="center"/>
          </w:tcPr>
          <w:p w14:paraId="00B3C36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Governance / C</w:t>
            </w:r>
          </w:p>
        </w:tc>
      </w:tr>
    </w:tbl>
    <w:p w14:paraId="4E2FA005">
      <w:pPr>
        <w:keepNext/>
        <w:spacing w:after="0" w:line="240" w:lineRule="auto"/>
        <w:rPr>
          <w:rFonts w:ascii="Times New Roman" w:hAnsi="Times New Roman" w:cs="Times New Roman"/>
          <w:b/>
          <w:color w:val="auto"/>
          <w:szCs w:val="18"/>
          <w:highlight w:val="none"/>
        </w:rPr>
      </w:pPr>
    </w:p>
    <w:p w14:paraId="044DF64E">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S3. Code-to-Pathway Derivation</w:t>
      </w:r>
    </w:p>
    <w:p w14:paraId="38779BA8">
      <w:pPr>
        <w:spacing w:after="0" w:line="240" w:lineRule="auto"/>
        <w:ind w:firstLine="360" w:firstLineChars="200"/>
        <w:rPr>
          <w:rFonts w:ascii="Times New Roman" w:hAnsi="Times New Roman" w:cs="Times New Roman"/>
          <w:color w:val="auto"/>
          <w:szCs w:val="18"/>
          <w:highlight w:val="none"/>
        </w:rPr>
      </w:pPr>
    </w:p>
    <w:p w14:paraId="511E2205">
      <w:pPr>
        <w:spacing w:after="0" w:line="240" w:lineRule="auto"/>
        <w:ind w:firstLine="360" w:firstLineChars="200"/>
        <w:rPr>
          <w:rFonts w:ascii="Times New Roman" w:hAnsi="Times New Roman" w:cs="Times New Roman"/>
          <w:b/>
          <w:bCs/>
          <w:color w:val="auto"/>
          <w:sz w:val="22"/>
          <w:szCs w:val="28"/>
          <w:highlight w:val="none"/>
          <w:lang w:eastAsia="zh-CN"/>
        </w:rPr>
      </w:pPr>
      <w:r>
        <w:rPr>
          <w:rFonts w:ascii="Times New Roman" w:hAnsi="Times New Roman" w:cs="Times New Roman"/>
          <w:color w:val="auto"/>
          <w:szCs w:val="18"/>
          <w:highlight w:val="none"/>
        </w:rPr>
        <w:t>Threshold rationale and status interpretation. The thresholds use a minimum-conjunction rule derived from the second-cycle codes. Each pathway requires evidence for the relevant problem domain and a mechanism that acts on it. Pathway 2 distinguishes task structuring from native cross-modal coordination, and Pathway 3 requires a documented post-training stage for M status. M/P/ND records documentary coverage and does not measure effectiveness. Platform-level E3 material can qualify interpretation but cannot upgrade a model-level status.</w:t>
      </w:r>
    </w:p>
    <w:p w14:paraId="7499C754">
      <w:pPr>
        <w:spacing w:after="0" w:line="240" w:lineRule="auto"/>
        <w:jc w:val="center"/>
        <w:rPr>
          <w:rFonts w:ascii="Times New Roman" w:hAnsi="Times New Roman" w:eastAsia="宋体" w:cs="Times New Roman"/>
          <w:b/>
          <w:bCs/>
          <w:color w:val="auto"/>
          <w:szCs w:val="18"/>
          <w:highlight w:val="none"/>
          <w:lang w:eastAsia="zh-CN"/>
        </w:rPr>
      </w:pPr>
    </w:p>
    <w:p w14:paraId="0E4C38E1">
      <w:pPr>
        <w:spacing w:after="0" w:line="240" w:lineRule="auto"/>
        <w:jc w:val="center"/>
        <w:rPr>
          <w:rFonts w:hint="eastAsia"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Table S3</w:t>
      </w:r>
    </w:p>
    <w:p w14:paraId="30ABF11C">
      <w:pPr>
        <w:spacing w:after="0" w:line="240" w:lineRule="auto"/>
        <w:jc w:val="center"/>
        <w:rPr>
          <w:rFonts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Code-to-pathway derivation and threshold rationale</w:t>
      </w:r>
    </w:p>
    <w:p w14:paraId="63B8A282">
      <w:pPr>
        <w:keepNext/>
        <w:spacing w:after="0" w:line="240" w:lineRule="auto"/>
        <w:rPr>
          <w:rFonts w:ascii="Times New Roman" w:hAnsi="Times New Roman" w:cs="Times New Roman"/>
          <w:b/>
          <w:color w:val="auto"/>
          <w:szCs w:val="18"/>
          <w:highlight w:val="none"/>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5"/>
        <w:gridCol w:w="3106"/>
        <w:gridCol w:w="3105"/>
        <w:gridCol w:w="3106"/>
        <w:gridCol w:w="3106"/>
      </w:tblGrid>
      <w:tr w14:paraId="1BC8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108" w:type="dxa"/>
            <w:shd w:val="clear" w:color="auto" w:fill="E2F0D9"/>
            <w:vAlign w:val="center"/>
          </w:tcPr>
          <w:p w14:paraId="3DEED392">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First-cycle codes</w:t>
            </w:r>
          </w:p>
        </w:tc>
        <w:tc>
          <w:tcPr>
            <w:tcW w:w="3108" w:type="dxa"/>
            <w:shd w:val="clear" w:color="auto" w:fill="E2F0D9"/>
            <w:vAlign w:val="center"/>
          </w:tcPr>
          <w:p w14:paraId="0E375B96">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Recurring design problem</w:t>
            </w:r>
          </w:p>
        </w:tc>
        <w:tc>
          <w:tcPr>
            <w:tcW w:w="3108" w:type="dxa"/>
            <w:shd w:val="clear" w:color="auto" w:fill="E2F0D9"/>
            <w:vAlign w:val="center"/>
          </w:tcPr>
          <w:p w14:paraId="7CC15145">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Second-cycle pathway</w:t>
            </w:r>
          </w:p>
        </w:tc>
        <w:tc>
          <w:tcPr>
            <w:tcW w:w="3108" w:type="dxa"/>
            <w:shd w:val="clear" w:color="auto" w:fill="E2F0D9"/>
            <w:vAlign w:val="center"/>
          </w:tcPr>
          <w:p w14:paraId="1F57C4B8">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Operational criterion and status rule</w:t>
            </w:r>
          </w:p>
        </w:tc>
        <w:tc>
          <w:tcPr>
            <w:tcW w:w="3108" w:type="dxa"/>
            <w:shd w:val="clear" w:color="auto" w:fill="E2F0D9"/>
            <w:vAlign w:val="center"/>
          </w:tcPr>
          <w:p w14:paraId="05229C0B">
            <w:pPr>
              <w:spacing w:after="0" w:line="240" w:lineRule="auto"/>
              <w:jc w:val="center"/>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Representative evidence</w:t>
            </w:r>
          </w:p>
        </w:tc>
      </w:tr>
      <w:tr w14:paraId="2611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08" w:type="dxa"/>
            <w:vAlign w:val="center"/>
          </w:tcPr>
          <w:p w14:paraId="0729440F">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Hallucination; factual reliability; retrieval; controlled vocabulary; domain adaptation; citation checking</w:t>
            </w:r>
          </w:p>
        </w:tc>
        <w:tc>
          <w:tcPr>
            <w:tcW w:w="3108" w:type="dxa"/>
            <w:vAlign w:val="center"/>
          </w:tcPr>
          <w:p w14:paraId="5524AA7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How financial knowledge and evidence are constrained</w:t>
            </w:r>
          </w:p>
        </w:tc>
        <w:tc>
          <w:tcPr>
            <w:tcW w:w="3108" w:type="dxa"/>
            <w:vAlign w:val="center"/>
          </w:tcPr>
          <w:p w14:paraId="7AABBDB0">
            <w:pPr>
              <w:spacing w:after="0" w:line="240" w:lineRule="auto"/>
              <w:rPr>
                <w:rFonts w:ascii="Times New Roman" w:hAnsi="Times New Roman" w:cs="Times New Roman"/>
                <w:color w:val="auto"/>
                <w:szCs w:val="18"/>
                <w:highlight w:val="none"/>
              </w:rPr>
            </w:pPr>
            <w:r>
              <w:rPr>
                <w:rFonts w:ascii="Times New Roman" w:hAnsi="Times New Roman" w:cs="Times New Roman"/>
                <w:b w:val="0"/>
                <w:bCs/>
                <w:color w:val="auto"/>
                <w:szCs w:val="18"/>
                <w:highlight w:val="none"/>
              </w:rPr>
              <w:t>Pathway 1: Specialized knowledge modeling</w:t>
            </w:r>
          </w:p>
        </w:tc>
        <w:tc>
          <w:tcPr>
            <w:tcW w:w="3108" w:type="dxa"/>
            <w:vAlign w:val="center"/>
          </w:tcPr>
          <w:p w14:paraId="299906D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 at least one domain-knowledge mechanism plus one output-control or verification mechanism, including task-specific reward/preference alignment. P: domain specialization without the second component. ND: no qualifying mechanism documented.</w:t>
            </w:r>
          </w:p>
        </w:tc>
        <w:tc>
          <w:tcPr>
            <w:tcW w:w="3108" w:type="dxa"/>
            <w:vAlign w:val="center"/>
          </w:tcPr>
          <w:p w14:paraId="6EA75FC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[15, 22–25, 41, 42, 45–47, 57–62]</w:t>
            </w:r>
          </w:p>
        </w:tc>
      </w:tr>
      <w:tr w14:paraId="4C57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08" w:type="dxa"/>
            <w:vAlign w:val="center"/>
          </w:tcPr>
          <w:p w14:paraId="07BCD32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Multimodal alignment; tables; charts; images; numerical inputs; task decomposition; expert routing</w:t>
            </w:r>
          </w:p>
        </w:tc>
        <w:tc>
          <w:tcPr>
            <w:tcW w:w="3108" w:type="dxa"/>
            <w:vAlign w:val="center"/>
          </w:tcPr>
          <w:p w14:paraId="71FDEC63">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How heterogeneous financial inputs are coordinated within a task</w:t>
            </w:r>
          </w:p>
        </w:tc>
        <w:tc>
          <w:tcPr>
            <w:tcW w:w="3108" w:type="dxa"/>
            <w:vAlign w:val="center"/>
          </w:tcPr>
          <w:p w14:paraId="35629504">
            <w:pPr>
              <w:spacing w:after="0" w:line="240" w:lineRule="auto"/>
              <w:rPr>
                <w:rFonts w:ascii="Times New Roman" w:hAnsi="Times New Roman" w:cs="Times New Roman"/>
                <w:color w:val="auto"/>
                <w:szCs w:val="18"/>
                <w:highlight w:val="none"/>
              </w:rPr>
            </w:pPr>
            <w:r>
              <w:rPr>
                <w:rFonts w:ascii="Times New Roman" w:hAnsi="Times New Roman" w:cs="Times New Roman"/>
                <w:b w:val="0"/>
                <w:bCs/>
                <w:color w:val="auto"/>
                <w:szCs w:val="18"/>
                <w:highlight w:val="none"/>
              </w:rPr>
              <w:t>Pathway 2: Task-constrained multimodal reasoning</w:t>
            </w:r>
          </w:p>
        </w:tc>
        <w:tc>
          <w:tcPr>
            <w:tcW w:w="3108" w:type="dxa"/>
            <w:vAlign w:val="center"/>
          </w:tcPr>
          <w:p w14:paraId="21FB887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 at least two input types, including a structured or visual modality, plus explicit cross-input alignment, fusion, routing, or decomposition. P: task structuring, heterogeneous-format processing, or text–numerical reasoning without documented native cross-modal coordination. ND: text-only design without a qualifying coordination mechanism.</w:t>
            </w:r>
          </w:p>
        </w:tc>
        <w:tc>
          <w:tcPr>
            <w:tcW w:w="3108" w:type="dxa"/>
            <w:vAlign w:val="center"/>
          </w:tcPr>
          <w:p w14:paraId="49AEA75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[4, 12, 15, 26–29, 43, 48–52, 63–65]</w:t>
            </w:r>
          </w:p>
        </w:tc>
      </w:tr>
      <w:tr w14:paraId="2C1F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08" w:type="dxa"/>
            <w:vAlign w:val="center"/>
          </w:tcPr>
          <w:p w14:paraId="40A93907">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Explainability; privacy; security; fairness; compliance; accountability; lifecycle monitoring</w:t>
            </w:r>
          </w:p>
        </w:tc>
        <w:tc>
          <w:tcPr>
            <w:tcW w:w="3108" w:type="dxa"/>
            <w:vAlign w:val="center"/>
          </w:tcPr>
          <w:p w14:paraId="36FDA0A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How model use is governed before and after deployment</w:t>
            </w:r>
          </w:p>
        </w:tc>
        <w:tc>
          <w:tcPr>
            <w:tcW w:w="3108" w:type="dxa"/>
            <w:vAlign w:val="center"/>
          </w:tcPr>
          <w:p w14:paraId="3B080739">
            <w:pPr>
              <w:spacing w:after="0" w:line="240" w:lineRule="auto"/>
              <w:rPr>
                <w:rFonts w:ascii="Times New Roman" w:hAnsi="Times New Roman" w:cs="Times New Roman"/>
                <w:color w:val="auto"/>
                <w:szCs w:val="18"/>
                <w:highlight w:val="none"/>
              </w:rPr>
            </w:pPr>
            <w:r>
              <w:rPr>
                <w:rFonts w:ascii="Times New Roman" w:hAnsi="Times New Roman" w:cs="Times New Roman"/>
                <w:b w:val="0"/>
                <w:bCs/>
                <w:color w:val="auto"/>
                <w:szCs w:val="18"/>
                <w:highlight w:val="none"/>
              </w:rPr>
              <w:t>Pathway 3: Trust-by-Design</w:t>
            </w:r>
          </w:p>
        </w:tc>
        <w:tc>
          <w:tcPr>
            <w:tcW w:w="3108" w:type="dxa"/>
            <w:vAlign w:val="center"/>
          </w:tcPr>
          <w:p w14:paraId="3E09DB2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M: controls across at least three lifecycle stages, including deployment or monitoring, and at least two governance functions. P: narrower development-stage coverage or a required post-training component supported only at platform level. ND: qualifying lifecycle governance not documented.</w:t>
            </w:r>
          </w:p>
        </w:tc>
        <w:tc>
          <w:tcPr>
            <w:tcW w:w="3108" w:type="dxa"/>
            <w:vAlign w:val="center"/>
          </w:tcPr>
          <w:p w14:paraId="1B29C2B6">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[1–3, 13, 14, 30–40, 44, 53–56, 66–69]</w:t>
            </w:r>
          </w:p>
        </w:tc>
      </w:tr>
    </w:tbl>
    <w:p w14:paraId="518E9167">
      <w:pPr>
        <w:spacing w:after="0" w:line="240" w:lineRule="auto"/>
        <w:rPr>
          <w:rFonts w:ascii="Times New Roman" w:hAnsi="Times New Roman" w:cs="Times New Roman"/>
          <w:color w:val="auto"/>
          <w:szCs w:val="18"/>
          <w:highlight w:val="none"/>
        </w:rPr>
      </w:pPr>
    </w:p>
    <w:p w14:paraId="6835768E">
      <w:pPr>
        <w:spacing w:after="0" w:line="240" w:lineRule="auto"/>
        <w:rPr>
          <w:rFonts w:ascii="Times New Roman" w:hAnsi="Times New Roman" w:cs="Times New Roman"/>
          <w:color w:val="auto"/>
          <w:szCs w:val="18"/>
          <w:highlight w:val="none"/>
        </w:rPr>
      </w:pPr>
    </w:p>
    <w:p w14:paraId="4ED3122E">
      <w:pPr>
        <w:spacing w:after="0" w:line="240" w:lineRule="auto"/>
        <w:rPr>
          <w:rFonts w:ascii="Times New Roman" w:hAnsi="Times New Roman" w:cs="Times New Roman"/>
          <w:b/>
          <w:bCs/>
          <w:color w:val="auto"/>
          <w:sz w:val="22"/>
          <w:szCs w:val="28"/>
          <w:highlight w:val="none"/>
          <w:lang w:eastAsia="zh-CN"/>
        </w:rPr>
      </w:pPr>
      <w:r>
        <w:rPr>
          <w:rFonts w:ascii="Times New Roman" w:hAnsi="Times New Roman" w:cs="Times New Roman"/>
          <w:b/>
          <w:bCs/>
          <w:color w:val="auto"/>
          <w:sz w:val="22"/>
          <w:szCs w:val="28"/>
          <w:highlight w:val="none"/>
          <w:lang w:eastAsia="zh-CN"/>
        </w:rPr>
        <w:t>S4. Seven Supplementary Sources Outside the 67-Study Corpus</w:t>
      </w:r>
    </w:p>
    <w:p w14:paraId="08459D0C">
      <w:pPr>
        <w:spacing w:after="0" w:line="240" w:lineRule="auto"/>
        <w:rPr>
          <w:rFonts w:ascii="Times New Roman" w:hAnsi="Times New Roman" w:cs="Times New Roman"/>
          <w:b/>
          <w:bCs/>
          <w:color w:val="auto"/>
          <w:sz w:val="22"/>
          <w:szCs w:val="28"/>
          <w:highlight w:val="none"/>
          <w:lang w:eastAsia="zh-CN"/>
        </w:rPr>
      </w:pPr>
    </w:p>
    <w:p w14:paraId="1FE529CC">
      <w:pPr>
        <w:spacing w:after="0" w:line="240" w:lineRule="auto"/>
        <w:ind w:firstLine="360" w:firstLineChars="200"/>
        <w:rPr>
          <w:rFonts w:ascii="Times New Roman" w:hAnsi="Times New Roman" w:cs="Times New Roman"/>
          <w:color w:val="auto"/>
          <w:szCs w:val="18"/>
          <w:highlight w:val="none"/>
        </w:rPr>
      </w:pPr>
      <w:r>
        <w:rPr>
          <w:rFonts w:ascii="Times New Roman" w:hAnsi="Times New Roman" w:cs="Times New Roman"/>
          <w:color w:val="auto"/>
          <w:szCs w:val="18"/>
          <w:highlight w:val="none"/>
        </w:rPr>
        <w:t>These seven sources support model comparison, release information, and platform context. They do not enter the 67-study thematic synthesis. Their role, claim-evidence level, and use restriction are shown below.</w:t>
      </w:r>
    </w:p>
    <w:p w14:paraId="0D78663B">
      <w:pPr>
        <w:spacing w:after="0" w:line="240" w:lineRule="auto"/>
        <w:jc w:val="center"/>
        <w:rPr>
          <w:rFonts w:hint="eastAsia" w:ascii="Times New Roman" w:hAnsi="Times New Roman" w:eastAsia="宋体" w:cs="Times New Roman"/>
          <w:b/>
          <w:bCs/>
          <w:color w:val="auto"/>
          <w:szCs w:val="18"/>
          <w:highlight w:val="none"/>
          <w:lang w:eastAsia="zh-CN"/>
        </w:rPr>
      </w:pPr>
      <w:r>
        <w:rPr>
          <w:rFonts w:hint="eastAsia" w:ascii="Times New Roman" w:hAnsi="Times New Roman" w:eastAsia="宋体" w:cs="Times New Roman"/>
          <w:b/>
          <w:bCs/>
          <w:color w:val="auto"/>
          <w:szCs w:val="18"/>
          <w:highlight w:val="none"/>
          <w:lang w:eastAsia="zh-CN"/>
        </w:rPr>
        <w:t>Table S4</w:t>
      </w:r>
    </w:p>
    <w:p w14:paraId="73DF398A">
      <w:pPr>
        <w:spacing w:after="0" w:line="240" w:lineRule="auto"/>
        <w:jc w:val="center"/>
        <w:rPr>
          <w:rFonts w:ascii="Times New Roman" w:hAnsi="Times New Roman" w:eastAsia="宋体" w:cs="Times New Roman"/>
          <w:b/>
          <w:bCs/>
          <w:color w:val="auto"/>
          <w:szCs w:val="18"/>
          <w:highlight w:val="none"/>
          <w:lang w:eastAsia="zh-CN"/>
        </w:rPr>
      </w:pPr>
      <w:bookmarkStart w:id="0" w:name="_GoBack"/>
      <w:bookmarkEnd w:id="0"/>
      <w:r>
        <w:rPr>
          <w:rFonts w:hint="eastAsia" w:ascii="Times New Roman" w:hAnsi="Times New Roman" w:eastAsia="宋体" w:cs="Times New Roman"/>
          <w:b/>
          <w:bCs/>
          <w:color w:val="auto"/>
          <w:szCs w:val="18"/>
          <w:highlight w:val="none"/>
          <w:lang w:eastAsia="zh-CN"/>
        </w:rPr>
        <w:t>Seven supplementary sources outside the 67-study corpus</w:t>
      </w:r>
    </w:p>
    <w:p w14:paraId="3A4B2564">
      <w:pPr>
        <w:spacing w:after="0" w:line="240" w:lineRule="auto"/>
        <w:rPr>
          <w:rFonts w:ascii="Times New Roman" w:hAnsi="Times New Roman" w:cs="Times New Roman"/>
          <w:b w:val="0"/>
          <w:bCs w:val="0"/>
          <w:color w:val="auto"/>
          <w:szCs w:val="18"/>
          <w:highlight w:val="none"/>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82"/>
        <w:gridCol w:w="3882"/>
        <w:gridCol w:w="3882"/>
        <w:gridCol w:w="3882"/>
      </w:tblGrid>
      <w:tr w14:paraId="2D60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882" w:type="dxa"/>
            <w:shd w:val="clear" w:color="auto" w:fill="FCE4D6"/>
            <w:tcMar>
              <w:top w:w="10" w:type="dxa"/>
              <w:left w:w="25" w:type="dxa"/>
              <w:bottom w:w="10" w:type="dxa"/>
              <w:right w:w="25" w:type="dxa"/>
            </w:tcMar>
            <w:vAlign w:val="center"/>
          </w:tcPr>
          <w:p w14:paraId="126D5FA2">
            <w:pPr>
              <w:spacing w:after="0" w:line="240" w:lineRule="auto"/>
              <w:jc w:val="center"/>
              <w:rPr>
                <w:rFonts w:ascii="Times New Roman" w:hAnsi="Times New Roman" w:cs="Times New Roman"/>
                <w:b w:val="0"/>
                <w:bCs w:val="0"/>
                <w:color w:val="auto"/>
                <w:szCs w:val="18"/>
                <w:highlight w:val="none"/>
              </w:rPr>
            </w:pPr>
            <w:r>
              <w:rPr>
                <w:rFonts w:ascii="Times New Roman" w:hAnsi="Times New Roman" w:cs="Times New Roman"/>
                <w:b w:val="0"/>
                <w:bCs w:val="0"/>
                <w:color w:val="auto"/>
                <w:szCs w:val="18"/>
                <w:highlight w:val="none"/>
              </w:rPr>
              <w:t>Reference</w:t>
            </w:r>
          </w:p>
        </w:tc>
        <w:tc>
          <w:tcPr>
            <w:tcW w:w="3882" w:type="dxa"/>
            <w:shd w:val="clear" w:color="auto" w:fill="FCE4D6"/>
            <w:tcMar>
              <w:top w:w="10" w:type="dxa"/>
              <w:left w:w="25" w:type="dxa"/>
              <w:bottom w:w="10" w:type="dxa"/>
              <w:right w:w="25" w:type="dxa"/>
            </w:tcMar>
            <w:vAlign w:val="center"/>
          </w:tcPr>
          <w:p w14:paraId="08FA7311">
            <w:pPr>
              <w:spacing w:after="0" w:line="240" w:lineRule="auto"/>
              <w:jc w:val="center"/>
              <w:rPr>
                <w:rFonts w:ascii="Times New Roman" w:hAnsi="Times New Roman" w:cs="Times New Roman"/>
                <w:b w:val="0"/>
                <w:bCs w:val="0"/>
                <w:color w:val="auto"/>
                <w:szCs w:val="18"/>
                <w:highlight w:val="none"/>
              </w:rPr>
            </w:pPr>
            <w:r>
              <w:rPr>
                <w:rFonts w:ascii="Times New Roman" w:hAnsi="Times New Roman" w:cs="Times New Roman"/>
                <w:b w:val="0"/>
                <w:bCs w:val="0"/>
                <w:color w:val="auto"/>
                <w:szCs w:val="18"/>
                <w:highlight w:val="none"/>
              </w:rPr>
              <w:t>Role in manuscript</w:t>
            </w:r>
          </w:p>
        </w:tc>
        <w:tc>
          <w:tcPr>
            <w:tcW w:w="3882" w:type="dxa"/>
            <w:shd w:val="clear" w:color="auto" w:fill="FCE4D6"/>
            <w:tcMar>
              <w:top w:w="10" w:type="dxa"/>
              <w:left w:w="25" w:type="dxa"/>
              <w:bottom w:w="10" w:type="dxa"/>
              <w:right w:w="25" w:type="dxa"/>
            </w:tcMar>
            <w:vAlign w:val="center"/>
          </w:tcPr>
          <w:p w14:paraId="0B1D02E9">
            <w:pPr>
              <w:spacing w:after="0" w:line="240" w:lineRule="auto"/>
              <w:jc w:val="center"/>
              <w:rPr>
                <w:rFonts w:ascii="Times New Roman" w:hAnsi="Times New Roman" w:cs="Times New Roman"/>
                <w:b w:val="0"/>
                <w:bCs w:val="0"/>
                <w:color w:val="auto"/>
                <w:szCs w:val="18"/>
                <w:highlight w:val="none"/>
              </w:rPr>
            </w:pPr>
            <w:r>
              <w:rPr>
                <w:rFonts w:ascii="Times New Roman" w:hAnsi="Times New Roman" w:cs="Times New Roman"/>
                <w:b w:val="0"/>
                <w:bCs w:val="0"/>
                <w:color w:val="auto"/>
                <w:szCs w:val="18"/>
                <w:highlight w:val="none"/>
              </w:rPr>
              <w:t>Claim-evidence level</w:t>
            </w:r>
          </w:p>
        </w:tc>
        <w:tc>
          <w:tcPr>
            <w:tcW w:w="3882" w:type="dxa"/>
            <w:shd w:val="clear" w:color="auto" w:fill="FCE4D6"/>
            <w:tcMar>
              <w:top w:w="10" w:type="dxa"/>
              <w:left w:w="25" w:type="dxa"/>
              <w:bottom w:w="10" w:type="dxa"/>
              <w:right w:w="25" w:type="dxa"/>
            </w:tcMar>
            <w:vAlign w:val="center"/>
          </w:tcPr>
          <w:p w14:paraId="73054CCE">
            <w:pPr>
              <w:spacing w:after="0" w:line="240" w:lineRule="auto"/>
              <w:jc w:val="center"/>
              <w:rPr>
                <w:rFonts w:ascii="Times New Roman" w:hAnsi="Times New Roman" w:cs="Times New Roman"/>
                <w:b w:val="0"/>
                <w:bCs w:val="0"/>
                <w:color w:val="auto"/>
                <w:szCs w:val="18"/>
                <w:highlight w:val="none"/>
              </w:rPr>
            </w:pPr>
            <w:r>
              <w:rPr>
                <w:rFonts w:ascii="Times New Roman" w:hAnsi="Times New Roman" w:cs="Times New Roman"/>
                <w:b w:val="0"/>
                <w:bCs w:val="0"/>
                <w:color w:val="auto"/>
                <w:szCs w:val="18"/>
                <w:highlight w:val="none"/>
              </w:rPr>
              <w:t>Use restriction</w:t>
            </w:r>
          </w:p>
        </w:tc>
      </w:tr>
      <w:tr w14:paraId="2870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2" w:type="dxa"/>
            <w:tcMar>
              <w:top w:w="10" w:type="dxa"/>
              <w:left w:w="25" w:type="dxa"/>
              <w:bottom w:w="10" w:type="dxa"/>
              <w:right w:w="25" w:type="dxa"/>
            </w:tcMar>
            <w:vAlign w:val="center"/>
          </w:tcPr>
          <w:p w14:paraId="65AE2ACC">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[16] </w:t>
            </w:r>
          </w:p>
        </w:tc>
        <w:tc>
          <w:tcPr>
            <w:tcW w:w="3882" w:type="dxa"/>
            <w:tcMar>
              <w:top w:w="10" w:type="dxa"/>
              <w:left w:w="25" w:type="dxa"/>
              <w:bottom w:w="10" w:type="dxa"/>
              <w:right w:w="25" w:type="dxa"/>
            </w:tcMar>
            <w:vAlign w:val="center"/>
          </w:tcPr>
          <w:p w14:paraId="65ACBD7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Release information for Agentar-Fin-R1</w:t>
            </w:r>
          </w:p>
        </w:tc>
        <w:tc>
          <w:tcPr>
            <w:tcW w:w="3882" w:type="dxa"/>
            <w:tcMar>
              <w:top w:w="10" w:type="dxa"/>
              <w:left w:w="25" w:type="dxa"/>
              <w:bottom w:w="10" w:type="dxa"/>
              <w:right w:w="25" w:type="dxa"/>
            </w:tcMar>
            <w:vAlign w:val="center"/>
          </w:tcPr>
          <w:p w14:paraId="2EED1A2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E3</w:t>
            </w:r>
          </w:p>
        </w:tc>
        <w:tc>
          <w:tcPr>
            <w:tcW w:w="3882" w:type="dxa"/>
            <w:tcMar>
              <w:top w:w="10" w:type="dxa"/>
              <w:left w:w="25" w:type="dxa"/>
              <w:bottom w:w="10" w:type="dxa"/>
              <w:right w:w="25" w:type="dxa"/>
            </w:tcMar>
            <w:vAlign w:val="center"/>
          </w:tcPr>
          <w:p w14:paraId="59122708">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Context only; no independent validation</w:t>
            </w:r>
          </w:p>
        </w:tc>
      </w:tr>
      <w:tr w14:paraId="1A48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2" w:type="dxa"/>
            <w:tcMar>
              <w:top w:w="10" w:type="dxa"/>
              <w:left w:w="25" w:type="dxa"/>
              <w:bottom w:w="10" w:type="dxa"/>
              <w:right w:w="25" w:type="dxa"/>
            </w:tcMar>
            <w:vAlign w:val="center"/>
          </w:tcPr>
          <w:p w14:paraId="78393C7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 xml:space="preserve">[17] </w:t>
            </w:r>
          </w:p>
        </w:tc>
        <w:tc>
          <w:tcPr>
            <w:tcW w:w="3882" w:type="dxa"/>
            <w:tcMar>
              <w:top w:w="10" w:type="dxa"/>
              <w:left w:w="25" w:type="dxa"/>
              <w:bottom w:w="10" w:type="dxa"/>
              <w:right w:w="25" w:type="dxa"/>
            </w:tcMar>
            <w:vAlign w:val="center"/>
          </w:tcPr>
          <w:p w14:paraId="46D18C9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Comparator-model evidence</w:t>
            </w:r>
          </w:p>
        </w:tc>
        <w:tc>
          <w:tcPr>
            <w:tcW w:w="3882" w:type="dxa"/>
            <w:tcMar>
              <w:top w:w="10" w:type="dxa"/>
              <w:left w:w="25" w:type="dxa"/>
              <w:bottom w:w="10" w:type="dxa"/>
              <w:right w:w="25" w:type="dxa"/>
            </w:tcMar>
            <w:vAlign w:val="center"/>
          </w:tcPr>
          <w:p w14:paraId="700BD50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E2</w:t>
            </w:r>
          </w:p>
        </w:tc>
        <w:tc>
          <w:tcPr>
            <w:tcW w:w="3882" w:type="dxa"/>
            <w:tcMar>
              <w:top w:w="10" w:type="dxa"/>
              <w:left w:w="25" w:type="dxa"/>
              <w:bottom w:w="10" w:type="dxa"/>
              <w:right w:w="25" w:type="dxa"/>
            </w:tcMar>
            <w:vAlign w:val="center"/>
          </w:tcPr>
          <w:p w14:paraId="10F8224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Original model-paper claims</w:t>
            </w:r>
          </w:p>
        </w:tc>
      </w:tr>
      <w:tr w14:paraId="79EB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2" w:type="dxa"/>
            <w:tcMar>
              <w:top w:w="10" w:type="dxa"/>
              <w:left w:w="25" w:type="dxa"/>
              <w:bottom w:w="10" w:type="dxa"/>
              <w:right w:w="25" w:type="dxa"/>
            </w:tcMar>
            <w:vAlign w:val="center"/>
          </w:tcPr>
          <w:p w14:paraId="1C05E983">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BloombergGPT preprint (manuscript footnote 1)</w:t>
            </w:r>
          </w:p>
        </w:tc>
        <w:tc>
          <w:tcPr>
            <w:tcW w:w="3882" w:type="dxa"/>
            <w:tcMar>
              <w:top w:w="10" w:type="dxa"/>
              <w:left w:w="25" w:type="dxa"/>
              <w:bottom w:w="10" w:type="dxa"/>
              <w:right w:w="25" w:type="dxa"/>
            </w:tcMar>
            <w:vAlign w:val="center"/>
          </w:tcPr>
          <w:p w14:paraId="29DC032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Comparator-model evidence</w:t>
            </w:r>
          </w:p>
        </w:tc>
        <w:tc>
          <w:tcPr>
            <w:tcW w:w="3882" w:type="dxa"/>
            <w:tcMar>
              <w:top w:w="10" w:type="dxa"/>
              <w:left w:w="25" w:type="dxa"/>
              <w:bottom w:w="10" w:type="dxa"/>
              <w:right w:w="25" w:type="dxa"/>
            </w:tcMar>
            <w:vAlign w:val="center"/>
          </w:tcPr>
          <w:p w14:paraId="78710032">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E2</w:t>
            </w:r>
          </w:p>
        </w:tc>
        <w:tc>
          <w:tcPr>
            <w:tcW w:w="3882" w:type="dxa"/>
            <w:tcMar>
              <w:top w:w="10" w:type="dxa"/>
              <w:left w:w="25" w:type="dxa"/>
              <w:bottom w:w="10" w:type="dxa"/>
              <w:right w:w="25" w:type="dxa"/>
            </w:tcMar>
            <w:vAlign w:val="center"/>
          </w:tcPr>
          <w:p w14:paraId="22217DF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Original model-paper claims</w:t>
            </w:r>
          </w:p>
        </w:tc>
      </w:tr>
      <w:tr w14:paraId="7698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2" w:type="dxa"/>
            <w:tcMar>
              <w:top w:w="10" w:type="dxa"/>
              <w:left w:w="25" w:type="dxa"/>
              <w:bottom w:w="10" w:type="dxa"/>
              <w:right w:w="25" w:type="dxa"/>
            </w:tcMar>
            <w:vAlign w:val="center"/>
          </w:tcPr>
          <w:p w14:paraId="5333D8F7">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FinGPT preprint (manuscript footnote</w:t>
            </w:r>
            <w:r>
              <w:rPr>
                <w:rFonts w:hint="eastAsia" w:ascii="Times New Roman" w:hAnsi="Times New Roman" w:eastAsia="宋体" w:cs="Times New Roman"/>
                <w:b w:val="0"/>
                <w:bCs/>
                <w:color w:val="auto"/>
                <w:szCs w:val="18"/>
                <w:highlight w:val="none"/>
                <w:lang w:eastAsia="zh-CN"/>
              </w:rPr>
              <w:t xml:space="preserve"> 2</w:t>
            </w:r>
            <w:r>
              <w:rPr>
                <w:rFonts w:ascii="Times New Roman" w:hAnsi="Times New Roman" w:cs="Times New Roman"/>
                <w:b w:val="0"/>
                <w:bCs/>
                <w:color w:val="auto"/>
                <w:szCs w:val="18"/>
                <w:highlight w:val="none"/>
              </w:rPr>
              <w:t>)</w:t>
            </w:r>
          </w:p>
        </w:tc>
        <w:tc>
          <w:tcPr>
            <w:tcW w:w="3882" w:type="dxa"/>
            <w:tcMar>
              <w:top w:w="10" w:type="dxa"/>
              <w:left w:w="25" w:type="dxa"/>
              <w:bottom w:w="10" w:type="dxa"/>
              <w:right w:w="25" w:type="dxa"/>
            </w:tcMar>
            <w:vAlign w:val="center"/>
          </w:tcPr>
          <w:p w14:paraId="0717665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Comparator-model evidence</w:t>
            </w:r>
          </w:p>
        </w:tc>
        <w:tc>
          <w:tcPr>
            <w:tcW w:w="3882" w:type="dxa"/>
            <w:tcMar>
              <w:top w:w="10" w:type="dxa"/>
              <w:left w:w="25" w:type="dxa"/>
              <w:bottom w:w="10" w:type="dxa"/>
              <w:right w:w="25" w:type="dxa"/>
            </w:tcMar>
            <w:vAlign w:val="center"/>
          </w:tcPr>
          <w:p w14:paraId="27BE76BE">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E2</w:t>
            </w:r>
          </w:p>
        </w:tc>
        <w:tc>
          <w:tcPr>
            <w:tcW w:w="3882" w:type="dxa"/>
            <w:tcMar>
              <w:top w:w="10" w:type="dxa"/>
              <w:left w:w="25" w:type="dxa"/>
              <w:bottom w:w="10" w:type="dxa"/>
              <w:right w:w="25" w:type="dxa"/>
            </w:tcMar>
            <w:vAlign w:val="center"/>
          </w:tcPr>
          <w:p w14:paraId="50DE2E04">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Original model-paper claims</w:t>
            </w:r>
          </w:p>
        </w:tc>
      </w:tr>
      <w:tr w14:paraId="5642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 w:hRule="atLeast"/>
          <w:jc w:val="center"/>
        </w:trPr>
        <w:tc>
          <w:tcPr>
            <w:tcW w:w="3882" w:type="dxa"/>
            <w:tcMar>
              <w:top w:w="10" w:type="dxa"/>
              <w:left w:w="25" w:type="dxa"/>
              <w:bottom w:w="10" w:type="dxa"/>
              <w:right w:w="25" w:type="dxa"/>
            </w:tcMar>
            <w:vAlign w:val="center"/>
          </w:tcPr>
          <w:p w14:paraId="45CB5B8C">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Fin-o1 preprint (manuscript footnote</w:t>
            </w:r>
            <w:r>
              <w:rPr>
                <w:rFonts w:hint="eastAsia" w:ascii="Times New Roman" w:hAnsi="Times New Roman" w:eastAsia="宋体" w:cs="Times New Roman"/>
                <w:b w:val="0"/>
                <w:bCs/>
                <w:color w:val="auto"/>
                <w:szCs w:val="18"/>
                <w:highlight w:val="none"/>
                <w:lang w:eastAsia="zh-CN"/>
              </w:rPr>
              <w:t xml:space="preserve"> 4</w:t>
            </w:r>
            <w:r>
              <w:rPr>
                <w:rFonts w:ascii="Times New Roman" w:hAnsi="Times New Roman" w:cs="Times New Roman"/>
                <w:b w:val="0"/>
                <w:bCs/>
                <w:color w:val="auto"/>
                <w:szCs w:val="18"/>
                <w:highlight w:val="none"/>
              </w:rPr>
              <w:t>)</w:t>
            </w:r>
          </w:p>
        </w:tc>
        <w:tc>
          <w:tcPr>
            <w:tcW w:w="3882" w:type="dxa"/>
            <w:tcMar>
              <w:top w:w="10" w:type="dxa"/>
              <w:left w:w="25" w:type="dxa"/>
              <w:bottom w:w="10" w:type="dxa"/>
              <w:right w:w="25" w:type="dxa"/>
            </w:tcMar>
            <w:vAlign w:val="center"/>
          </w:tcPr>
          <w:p w14:paraId="2583F04A">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Comparator-model evidence</w:t>
            </w:r>
          </w:p>
        </w:tc>
        <w:tc>
          <w:tcPr>
            <w:tcW w:w="3882" w:type="dxa"/>
            <w:tcMar>
              <w:top w:w="10" w:type="dxa"/>
              <w:left w:w="25" w:type="dxa"/>
              <w:bottom w:w="10" w:type="dxa"/>
              <w:right w:w="25" w:type="dxa"/>
            </w:tcMar>
            <w:vAlign w:val="center"/>
          </w:tcPr>
          <w:p w14:paraId="51A605F9">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E2</w:t>
            </w:r>
          </w:p>
        </w:tc>
        <w:tc>
          <w:tcPr>
            <w:tcW w:w="3882" w:type="dxa"/>
            <w:tcMar>
              <w:top w:w="10" w:type="dxa"/>
              <w:left w:w="25" w:type="dxa"/>
              <w:bottom w:w="10" w:type="dxa"/>
              <w:right w:w="25" w:type="dxa"/>
            </w:tcMar>
            <w:vAlign w:val="center"/>
          </w:tcPr>
          <w:p w14:paraId="693FF90C">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Original model-paper claims</w:t>
            </w:r>
          </w:p>
        </w:tc>
      </w:tr>
      <w:tr w14:paraId="214D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2" w:type="dxa"/>
            <w:tcMar>
              <w:top w:w="10" w:type="dxa"/>
              <w:left w:w="25" w:type="dxa"/>
              <w:bottom w:w="10" w:type="dxa"/>
              <w:right w:w="25" w:type="dxa"/>
            </w:tcMar>
            <w:vAlign w:val="center"/>
          </w:tcPr>
          <w:p w14:paraId="430B8ED3">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Fin-R1 preprint (manuscript footnote</w:t>
            </w:r>
            <w:r>
              <w:rPr>
                <w:rFonts w:hint="eastAsia" w:ascii="Times New Roman" w:hAnsi="Times New Roman" w:eastAsia="宋体" w:cs="Times New Roman"/>
                <w:b w:val="0"/>
                <w:bCs/>
                <w:color w:val="auto"/>
                <w:szCs w:val="18"/>
                <w:highlight w:val="none"/>
                <w:lang w:eastAsia="zh-CN"/>
              </w:rPr>
              <w:t xml:space="preserve"> 5</w:t>
            </w:r>
            <w:r>
              <w:rPr>
                <w:rFonts w:ascii="Times New Roman" w:hAnsi="Times New Roman" w:cs="Times New Roman"/>
                <w:b w:val="0"/>
                <w:bCs/>
                <w:color w:val="auto"/>
                <w:szCs w:val="18"/>
                <w:highlight w:val="none"/>
              </w:rPr>
              <w:t>)</w:t>
            </w:r>
          </w:p>
        </w:tc>
        <w:tc>
          <w:tcPr>
            <w:tcW w:w="3882" w:type="dxa"/>
            <w:tcMar>
              <w:top w:w="10" w:type="dxa"/>
              <w:left w:w="25" w:type="dxa"/>
              <w:bottom w:w="10" w:type="dxa"/>
              <w:right w:w="25" w:type="dxa"/>
            </w:tcMar>
            <w:vAlign w:val="center"/>
          </w:tcPr>
          <w:p w14:paraId="2D731E01">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Comparator-model evidence</w:t>
            </w:r>
          </w:p>
        </w:tc>
        <w:tc>
          <w:tcPr>
            <w:tcW w:w="3882" w:type="dxa"/>
            <w:tcMar>
              <w:top w:w="10" w:type="dxa"/>
              <w:left w:w="25" w:type="dxa"/>
              <w:bottom w:w="10" w:type="dxa"/>
              <w:right w:w="25" w:type="dxa"/>
            </w:tcMar>
            <w:vAlign w:val="center"/>
          </w:tcPr>
          <w:p w14:paraId="3452CEA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E2</w:t>
            </w:r>
          </w:p>
        </w:tc>
        <w:tc>
          <w:tcPr>
            <w:tcW w:w="3882" w:type="dxa"/>
            <w:tcMar>
              <w:top w:w="10" w:type="dxa"/>
              <w:left w:w="25" w:type="dxa"/>
              <w:bottom w:w="10" w:type="dxa"/>
              <w:right w:w="25" w:type="dxa"/>
            </w:tcMar>
            <w:vAlign w:val="center"/>
          </w:tcPr>
          <w:p w14:paraId="67CF932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Original model-paper claims</w:t>
            </w:r>
          </w:p>
        </w:tc>
      </w:tr>
      <w:tr w14:paraId="3EDC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2" w:type="dxa"/>
            <w:tcMar>
              <w:top w:w="10" w:type="dxa"/>
              <w:left w:w="25" w:type="dxa"/>
              <w:bottom w:w="10" w:type="dxa"/>
              <w:right w:w="25" w:type="dxa"/>
            </w:tcMar>
            <w:vAlign w:val="center"/>
          </w:tcPr>
          <w:p w14:paraId="676F32F0">
            <w:pPr>
              <w:spacing w:after="0" w:line="240" w:lineRule="auto"/>
              <w:rPr>
                <w:rFonts w:ascii="Times New Roman" w:hAnsi="Times New Roman" w:cs="Times New Roman"/>
                <w:b w:val="0"/>
                <w:bCs/>
                <w:color w:val="auto"/>
                <w:szCs w:val="18"/>
                <w:highlight w:val="none"/>
              </w:rPr>
            </w:pPr>
            <w:r>
              <w:rPr>
                <w:rFonts w:ascii="Times New Roman" w:hAnsi="Times New Roman" w:cs="Times New Roman"/>
                <w:b w:val="0"/>
                <w:bCs/>
                <w:color w:val="auto"/>
                <w:szCs w:val="18"/>
                <w:highlight w:val="none"/>
              </w:rPr>
              <w:t>Zero One Think Tank financial-agent report (manuscript footnote</w:t>
            </w:r>
            <w:r>
              <w:rPr>
                <w:rFonts w:hint="eastAsia" w:ascii="Times New Roman" w:hAnsi="Times New Roman" w:eastAsia="宋体" w:cs="Times New Roman"/>
                <w:b w:val="0"/>
                <w:bCs/>
                <w:color w:val="auto"/>
                <w:szCs w:val="18"/>
                <w:highlight w:val="none"/>
                <w:lang w:eastAsia="zh-CN"/>
              </w:rPr>
              <w:t xml:space="preserve"> 6</w:t>
            </w:r>
            <w:r>
              <w:rPr>
                <w:rFonts w:ascii="Times New Roman" w:hAnsi="Times New Roman" w:cs="Times New Roman"/>
                <w:b w:val="0"/>
                <w:bCs/>
                <w:color w:val="auto"/>
                <w:szCs w:val="18"/>
                <w:highlight w:val="none"/>
              </w:rPr>
              <w:t>)</w:t>
            </w:r>
          </w:p>
        </w:tc>
        <w:tc>
          <w:tcPr>
            <w:tcW w:w="3882" w:type="dxa"/>
            <w:tcMar>
              <w:top w:w="10" w:type="dxa"/>
              <w:left w:w="25" w:type="dxa"/>
              <w:bottom w:w="10" w:type="dxa"/>
              <w:right w:w="25" w:type="dxa"/>
            </w:tcMar>
            <w:vAlign w:val="center"/>
          </w:tcPr>
          <w:p w14:paraId="30021C25">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Agentar platform deployment cases</w:t>
            </w:r>
          </w:p>
        </w:tc>
        <w:tc>
          <w:tcPr>
            <w:tcW w:w="3882" w:type="dxa"/>
            <w:tcMar>
              <w:top w:w="10" w:type="dxa"/>
              <w:left w:w="25" w:type="dxa"/>
              <w:bottom w:w="10" w:type="dxa"/>
              <w:right w:w="25" w:type="dxa"/>
            </w:tcMar>
            <w:vAlign w:val="center"/>
          </w:tcPr>
          <w:p w14:paraId="5BFE940D">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E3</w:t>
            </w:r>
          </w:p>
        </w:tc>
        <w:tc>
          <w:tcPr>
            <w:tcW w:w="3882" w:type="dxa"/>
            <w:tcMar>
              <w:top w:w="10" w:type="dxa"/>
              <w:left w:w="25" w:type="dxa"/>
              <w:bottom w:w="10" w:type="dxa"/>
              <w:right w:w="25" w:type="dxa"/>
            </w:tcMar>
            <w:vAlign w:val="center"/>
          </w:tcPr>
          <w:p w14:paraId="5082A40B">
            <w:pPr>
              <w:spacing w:after="0" w:line="240" w:lineRule="auto"/>
              <w:rPr>
                <w:rFonts w:ascii="Times New Roman" w:hAnsi="Times New Roman" w:cs="Times New Roman"/>
                <w:color w:val="auto"/>
                <w:szCs w:val="18"/>
                <w:highlight w:val="none"/>
              </w:rPr>
            </w:pPr>
            <w:r>
              <w:rPr>
                <w:rFonts w:ascii="Times New Roman" w:hAnsi="Times New Roman" w:cs="Times New Roman"/>
                <w:color w:val="auto"/>
                <w:szCs w:val="18"/>
                <w:highlight w:val="none"/>
              </w:rPr>
              <w:t>Platform outcomes are not attributed to Agentar-Fin-R1</w:t>
            </w:r>
          </w:p>
        </w:tc>
      </w:tr>
    </w:tbl>
    <w:p w14:paraId="40E5FAF3">
      <w:pPr>
        <w:spacing w:after="0" w:line="240" w:lineRule="auto"/>
        <w:rPr>
          <w:rFonts w:ascii="Times New Roman" w:hAnsi="Times New Roman" w:cs="Times New Roman"/>
          <w:color w:val="auto"/>
          <w:szCs w:val="18"/>
          <w:highlight w:val="none"/>
        </w:rPr>
      </w:pPr>
    </w:p>
    <w:sectPr>
      <w:pgSz w:w="16834" w:h="11909" w:orient="landscape"/>
      <w:pgMar w:top="648" w:right="648" w:bottom="648" w:left="64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A63"/>
    <w:rsid w:val="00034616"/>
    <w:rsid w:val="0006063C"/>
    <w:rsid w:val="00115ABF"/>
    <w:rsid w:val="0015074B"/>
    <w:rsid w:val="001B1E08"/>
    <w:rsid w:val="0029639D"/>
    <w:rsid w:val="00326F90"/>
    <w:rsid w:val="00395A18"/>
    <w:rsid w:val="004C16C0"/>
    <w:rsid w:val="00814BA0"/>
    <w:rsid w:val="00815B59"/>
    <w:rsid w:val="00A52E79"/>
    <w:rsid w:val="00AA1D8D"/>
    <w:rsid w:val="00B47730"/>
    <w:rsid w:val="00B502B8"/>
    <w:rsid w:val="00BF288C"/>
    <w:rsid w:val="00C1518E"/>
    <w:rsid w:val="00CB0664"/>
    <w:rsid w:val="00D761F3"/>
    <w:rsid w:val="00FC693F"/>
    <w:rsid w:val="00FF496B"/>
    <w:rsid w:val="02186A33"/>
    <w:rsid w:val="03E35FB0"/>
    <w:rsid w:val="042A6EF2"/>
    <w:rsid w:val="048F642E"/>
    <w:rsid w:val="0840679C"/>
    <w:rsid w:val="09FB5160"/>
    <w:rsid w:val="0A801619"/>
    <w:rsid w:val="0B4E34C6"/>
    <w:rsid w:val="0C1F0797"/>
    <w:rsid w:val="0CAC4948"/>
    <w:rsid w:val="0DF30354"/>
    <w:rsid w:val="0DFE5677"/>
    <w:rsid w:val="0F0B6A95"/>
    <w:rsid w:val="0F9C5147"/>
    <w:rsid w:val="10AD08B1"/>
    <w:rsid w:val="124C2311"/>
    <w:rsid w:val="13893C35"/>
    <w:rsid w:val="164E6A70"/>
    <w:rsid w:val="16AD3796"/>
    <w:rsid w:val="1870769A"/>
    <w:rsid w:val="18C748B7"/>
    <w:rsid w:val="1CBD494F"/>
    <w:rsid w:val="1D3249F5"/>
    <w:rsid w:val="1D6152DA"/>
    <w:rsid w:val="1F923E71"/>
    <w:rsid w:val="201725C8"/>
    <w:rsid w:val="21B93E80"/>
    <w:rsid w:val="221B2546"/>
    <w:rsid w:val="23EC55B2"/>
    <w:rsid w:val="25234734"/>
    <w:rsid w:val="2563672A"/>
    <w:rsid w:val="26155168"/>
    <w:rsid w:val="27F60D15"/>
    <w:rsid w:val="294100A6"/>
    <w:rsid w:val="296543A4"/>
    <w:rsid w:val="2A7C7BF7"/>
    <w:rsid w:val="2A9211C9"/>
    <w:rsid w:val="2AC1560A"/>
    <w:rsid w:val="2BE90C99"/>
    <w:rsid w:val="2E3A5DFF"/>
    <w:rsid w:val="2EA01FED"/>
    <w:rsid w:val="2F0B32F8"/>
    <w:rsid w:val="30D065A7"/>
    <w:rsid w:val="3399410A"/>
    <w:rsid w:val="34D505CF"/>
    <w:rsid w:val="358931C8"/>
    <w:rsid w:val="35C41FC1"/>
    <w:rsid w:val="378E2D18"/>
    <w:rsid w:val="394E09B1"/>
    <w:rsid w:val="39641F82"/>
    <w:rsid w:val="3B5E2A01"/>
    <w:rsid w:val="3C095063"/>
    <w:rsid w:val="3CD016DD"/>
    <w:rsid w:val="3D663360"/>
    <w:rsid w:val="3E3839DE"/>
    <w:rsid w:val="3E6A003B"/>
    <w:rsid w:val="3FD6525C"/>
    <w:rsid w:val="40387CC5"/>
    <w:rsid w:val="407927B7"/>
    <w:rsid w:val="410F4ECA"/>
    <w:rsid w:val="418E52F0"/>
    <w:rsid w:val="41F12821"/>
    <w:rsid w:val="42E83C16"/>
    <w:rsid w:val="434A043B"/>
    <w:rsid w:val="434F77FF"/>
    <w:rsid w:val="43EA7528"/>
    <w:rsid w:val="442B3AB6"/>
    <w:rsid w:val="44C22253"/>
    <w:rsid w:val="45575091"/>
    <w:rsid w:val="47356950"/>
    <w:rsid w:val="48AD5549"/>
    <w:rsid w:val="4D0B040F"/>
    <w:rsid w:val="4EC52072"/>
    <w:rsid w:val="4FB96CA6"/>
    <w:rsid w:val="526302BF"/>
    <w:rsid w:val="53D26312"/>
    <w:rsid w:val="543547EF"/>
    <w:rsid w:val="55782BE6"/>
    <w:rsid w:val="56460D3D"/>
    <w:rsid w:val="57C93BCD"/>
    <w:rsid w:val="581F1A3E"/>
    <w:rsid w:val="58233FFC"/>
    <w:rsid w:val="595B081C"/>
    <w:rsid w:val="5A2269D0"/>
    <w:rsid w:val="5CBF10FA"/>
    <w:rsid w:val="5CCE3A33"/>
    <w:rsid w:val="5D027239"/>
    <w:rsid w:val="6062071A"/>
    <w:rsid w:val="60C413D5"/>
    <w:rsid w:val="60F82E2D"/>
    <w:rsid w:val="61954B1F"/>
    <w:rsid w:val="61AF3E33"/>
    <w:rsid w:val="621C0D9D"/>
    <w:rsid w:val="6388493C"/>
    <w:rsid w:val="63C4349A"/>
    <w:rsid w:val="64945903"/>
    <w:rsid w:val="654E74BF"/>
    <w:rsid w:val="67E60D91"/>
    <w:rsid w:val="6814584E"/>
    <w:rsid w:val="68EE7515"/>
    <w:rsid w:val="6A3F1ACC"/>
    <w:rsid w:val="6AFE7BA1"/>
    <w:rsid w:val="6B7B6B34"/>
    <w:rsid w:val="6E700095"/>
    <w:rsid w:val="6F2B357B"/>
    <w:rsid w:val="711962B9"/>
    <w:rsid w:val="735A1ECE"/>
    <w:rsid w:val="737E4FBA"/>
    <w:rsid w:val="74B84955"/>
    <w:rsid w:val="78A2146F"/>
    <w:rsid w:val="790243F1"/>
    <w:rsid w:val="790463BB"/>
    <w:rsid w:val="7A413C48"/>
    <w:rsid w:val="7B4056A4"/>
    <w:rsid w:val="7C8B38F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8"/>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8"/>
    <w:semiHidden/>
    <w:unhideWhenUsed/>
    <w:qFormat/>
    <w:uiPriority w:val="99"/>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9"/>
    <w:semiHidden/>
    <w:unhideWhenUsed/>
    <w:qFormat/>
    <w:uiPriority w:val="99"/>
    <w:rPr>
      <w:b/>
      <w:bCs/>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qFormat/>
    <w:uiPriority w:val="99"/>
    <w:rPr>
      <w:sz w:val="21"/>
      <w:szCs w:val="21"/>
    </w:rPr>
  </w:style>
  <w:style w:type="character" w:customStyle="1" w:styleId="138">
    <w:name w:val="页眉 字符"/>
    <w:basedOn w:val="134"/>
    <w:link w:val="26"/>
    <w:qFormat/>
    <w:uiPriority w:val="99"/>
  </w:style>
  <w:style w:type="character" w:customStyle="1" w:styleId="139">
    <w:name w:val="页脚 字符"/>
    <w:basedOn w:val="134"/>
    <w:link w:val="25"/>
    <w:qFormat/>
    <w:uiPriority w:val="99"/>
  </w:style>
  <w:style w:type="paragraph" w:styleId="140">
    <w:name w:val="No Spacing"/>
    <w:qFormat/>
    <w:uiPriority w:val="1"/>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qFormat/>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8"/>
    <w:qFormat/>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明显强调1"/>
    <w:basedOn w:val="134"/>
    <w:qFormat/>
    <w:uiPriority w:val="21"/>
    <w:rPr>
      <w:b/>
      <w:bCs/>
      <w:i/>
      <w:iCs/>
      <w:color w:val="4F81BD" w:themeColor="accent1"/>
      <w14:textFill>
        <w14:solidFill>
          <w14:schemeClr w14:val="accent1"/>
        </w14:solidFill>
      </w14:textFill>
    </w:rPr>
  </w:style>
  <w:style w:type="character" w:customStyle="1" w:styleId="163">
    <w:name w:val="不明显参考1"/>
    <w:basedOn w:val="134"/>
    <w:qFormat/>
    <w:uiPriority w:val="31"/>
    <w:rPr>
      <w:smallCaps/>
      <w:color w:val="C0504D" w:themeColor="accent2"/>
      <w:u w:val="single"/>
      <w14:textFill>
        <w14:solidFill>
          <w14:schemeClr w14:val="accent2"/>
        </w14:solidFill>
      </w14:textFill>
    </w:rPr>
  </w:style>
  <w:style w:type="character" w:customStyle="1" w:styleId="164">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书籍标题1"/>
    <w:basedOn w:val="134"/>
    <w:qFormat/>
    <w:uiPriority w:val="33"/>
    <w:rPr>
      <w:b/>
      <w:bCs/>
      <w:smallCaps/>
      <w:spacing w:val="5"/>
    </w:rPr>
  </w:style>
  <w:style w:type="paragraph" w:customStyle="1" w:styleId="166">
    <w:name w:val="TOC 标题1"/>
    <w:basedOn w:val="3"/>
    <w:next w:val="1"/>
    <w:semiHidden/>
    <w:unhideWhenUsed/>
    <w:qFormat/>
    <w:uiPriority w:val="39"/>
    <w:pPr>
      <w:outlineLvl w:val="9"/>
    </w:pPr>
  </w:style>
  <w:style w:type="paragraph" w:customStyle="1" w:styleId="167">
    <w:name w:val="修订1"/>
    <w:hidden/>
    <w:semiHidden/>
    <w:qFormat/>
    <w:uiPriority w:val="99"/>
    <w:rPr>
      <w:rFonts w:ascii="Arial" w:hAnsi="Arial" w:eastAsiaTheme="minorEastAsia" w:cstheme="minorBidi"/>
      <w:sz w:val="18"/>
      <w:szCs w:val="22"/>
      <w:lang w:val="en-US" w:eastAsia="en-US" w:bidi="ar-SA"/>
    </w:rPr>
  </w:style>
  <w:style w:type="character" w:customStyle="1" w:styleId="168">
    <w:name w:val="批注文字 字符"/>
    <w:basedOn w:val="134"/>
    <w:link w:val="17"/>
    <w:semiHidden/>
    <w:qFormat/>
    <w:uiPriority w:val="99"/>
    <w:rPr>
      <w:rFonts w:ascii="Arial" w:hAnsi="Arial"/>
      <w:sz w:val="18"/>
      <w:szCs w:val="22"/>
      <w:lang w:eastAsia="en-US"/>
    </w:rPr>
  </w:style>
  <w:style w:type="character" w:customStyle="1" w:styleId="169">
    <w:name w:val="批注主题 字符"/>
    <w:basedOn w:val="168"/>
    <w:link w:val="33"/>
    <w:semiHidden/>
    <w:qFormat/>
    <w:uiPriority w:val="99"/>
    <w:rPr>
      <w:rFonts w:ascii="Arial" w:hAnsi="Arial"/>
      <w:b/>
      <w:bCs/>
      <w:sz w:val="18"/>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646</Words>
  <Characters>4076</Characters>
  <Lines>145</Lines>
  <Paragraphs>41</Paragraphs>
  <TotalTime>22</TotalTime>
  <ScaleCrop>false</ScaleCrop>
  <LinksUpToDate>false</LinksUpToDate>
  <CharactersWithSpaces>4685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2026-08-26T15:41:00Z</dcterms:created>
  <dc:creator>python-docx</dc:creator>
  <dc:description>generated by python-docx</dc:description>
  <cp:lastModifiedBy>Administrator</cp:lastModifiedBy>
  <dcterms:modified xsi:type="dcterms:W3CDTF">2026-10-14T02:56:39Z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eyJoZGlkIjoiMWVkMGQ5OGM3MTBmYmMxNWQ3MDNiN2NhM2EyMWQwNjgiLCJ1c2VySWQiOiI0OTI0NDE0NzkifQ==</vt:lpwstr>
  </property>
  <property fmtid="{D5CDD505-2E9C-101B-9397-08002B2CF9AE}" pid="3" name="KSOProductBuildVer">
    <vt:lpwstr>2052-12.1.0.28505</vt:lpwstr>
  </property>
  <property fmtid="{D5CDD505-2E9C-101B-9397-08002B2CF9AE}" pid="4" name="ICV">
    <vt:lpwstr>4BB4E724ADED4F8BA2F859C6679A1C89_12</vt:lpwstr>
  </property>
</Properties>
</file>