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ARTICLE/REVIEW</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jc w:val="right"/>
        <w:rPr>
          <w:rFonts w:hint="eastAsia" w:eastAsia="宋体"/>
          <w:sz w:val="16"/>
          <w:szCs w:val="16"/>
          <w:lang w:val="en-US" w:eastAsia="zh-CN"/>
        </w:rPr>
      </w:pPr>
      <w:r>
        <w:rPr>
          <w:rFonts w:hint="eastAsia" w:eastAsia="宋体"/>
          <w:sz w:val="16"/>
          <w:szCs w:val="16"/>
          <w:lang w:val="en-US" w:eastAsia="zh-CN"/>
        </w:rPr>
        <w:t>Artificial Intelligence and Application</w:t>
      </w:r>
    </w:p>
    <w:p>
      <w:pPr>
        <w:pStyle w:val="385"/>
        <w:jc w:val="right"/>
        <w:rPr>
          <w:sz w:val="16"/>
          <w:szCs w:val="16"/>
        </w:rPr>
      </w:pPr>
      <w:bookmarkStart w:id="0" w:name="_GoBack"/>
      <w:bookmarkEnd w:id="0"/>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hint="eastAsia" w:eastAsia="宋体"/>
          <w:color w:val="0070C0"/>
          <w:sz w:val="16"/>
          <w:szCs w:val="16"/>
          <w:lang w:val="en-US" w:eastAsia="zh-CN"/>
        </w:rPr>
        <w:t>AIA</w:t>
      </w:r>
      <w:r>
        <w:rPr>
          <w:rFonts w:eastAsia="宋体"/>
          <w:color w:val="0070C0"/>
          <w:sz w:val="16"/>
          <w:szCs w:val="16"/>
          <w:lang w:eastAsia="zh-CN"/>
        </w:rPr>
        <w:t>XXXXXXXX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cs="Times New Roman"/>
          <w:sz w:val="15"/>
          <w:szCs w:val="15"/>
          <w:lang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fldChar w:fldCharType="begin"/>
      </w:r>
      <w:r>
        <w:instrText xml:space="preserve"> HYPERLINK "mailto:srinchen.sce@rub.edu.bt" </w:instrText>
      </w:r>
      <w:r>
        <w:fldChar w:fldCharType="separate"/>
      </w:r>
      <w:r>
        <w:rPr>
          <w:rStyle w:val="215"/>
          <w:rFonts w:hint="eastAsia" w:eastAsia="宋体" w:cs="Times New Roman"/>
          <w:sz w:val="15"/>
          <w:szCs w:val="15"/>
          <w:lang w:val="en-US" w:eastAsia="zh-CN" w:bidi="ar-SA"/>
        </w:rPr>
        <w:t>xxxxx</w:t>
      </w:r>
      <w:r>
        <w:rPr>
          <w:rStyle w:val="215"/>
          <w:rFonts w:cs="Times New Roman"/>
          <w:sz w:val="15"/>
          <w:szCs w:val="15"/>
          <w:lang w:bidi="ar-SA"/>
        </w:rPr>
        <w:t>@rub.edu.bt</w:t>
      </w:r>
      <w:r>
        <w:rPr>
          <w:rStyle w:val="215"/>
          <w:rFonts w:cs="Times New Roman"/>
          <w:sz w:val="15"/>
          <w:szCs w:val="15"/>
          <w:lang w:bidi="ar-SA"/>
        </w:rPr>
        <w:fldChar w:fldCharType="end"/>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lang w:eastAsia="zh-C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lang w:eastAsia="zh-C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Education is a tool, that can be used to create societal level awareness on environmental problems through the formal education system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2, 3, 4, 5</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The recent study conducted by Department of Curriculum Research and Developmen</w:t>
      </w:r>
      <w:r>
        <w:rPr>
          <w:rFonts w:hint="eastAsia"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Department of Curriculum Research and Developmen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8</w:t>
      </w:r>
      <w:r>
        <w:rPr>
          <w:rFonts w:hint="eastAsia" w:eastAsia="宋体" w:cs="Times New Roman"/>
          <w:color w:val="000000"/>
          <w:sz w:val="18"/>
          <w:szCs w:val="18"/>
          <w:lang w:val="en-US" w:eastAsia="zh-CN" w:bidi="ar-SA"/>
        </w:rPr>
        <w:t>]</w:t>
      </w:r>
      <w:r>
        <w:rPr>
          <w:rFonts w:cs="Times New Roman"/>
          <w:color w:val="000000"/>
          <w:sz w:val="18"/>
          <w:szCs w:val="18"/>
          <w:lang w:bidi="ar-SA"/>
        </w:rPr>
        <w:t>. Solid waste is defined by</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Detraz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as non-liquid and non-gaseous garbage, refuse or sludge products of human activities, regarded as useless. Solid waste must include waste items from households, commercial waste, hospital waste, and construction waste. In recent times, numerous studies were undertaken in the field of SWMR by local governments and international agencies (OECD, 2019; UNSD, 2019; World Bank, 2018). A study conducted by Dung</w:t>
      </w:r>
      <w:r>
        <w:rPr>
          <w:rFonts w:hint="eastAsia" w:eastAsia="宋体" w:cs="Times New Roman"/>
          <w:color w:val="000000"/>
          <w:sz w:val="18"/>
          <w:szCs w:val="18"/>
          <w:lang w:val="en-US" w:eastAsia="zh-CN" w:bidi="ar-SA"/>
        </w:rPr>
        <w:t xml:space="preserve"> et al.</w:t>
      </w:r>
      <w:r>
        <w:rPr>
          <w:rFonts w:cs="Times New Roman"/>
          <w:color w:val="000000"/>
          <w:sz w:val="18"/>
          <w:szCs w:val="18"/>
          <w:lang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exploring</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its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relations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the environment. For</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10</w:t>
      </w:r>
      <w:r>
        <w:rPr>
          <w:rFonts w:hint="eastAsia" w:eastAsia="宋体" w:cs="Times New Roman"/>
          <w:color w:val="000000"/>
          <w:sz w:val="18"/>
          <w:szCs w:val="18"/>
          <w:lang w:val="en-US" w:eastAsia="zh-CN" w:bidi="ar-SA"/>
        </w:rPr>
        <w:t>]</w:t>
      </w:r>
      <w:r>
        <w:rPr>
          <w:rFonts w:cs="Times New Roman"/>
          <w:color w:val="000000"/>
          <w:sz w:val="18"/>
          <w:szCs w:val="18"/>
          <w:lang w:bidi="ar-SA"/>
        </w:rPr>
        <w:t>.</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1, 3, 4, 8, 10</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2.1</w:t>
      </w:r>
      <w:r>
        <w:rPr>
          <w:rFonts w:hint="eastAsia" w:eastAsia="宋体"/>
          <w:lang w:val="en-US" w:eastAsia="zh-CN"/>
        </w:rPr>
        <w:t>.</w:t>
      </w:r>
      <w:r>
        <w:t xml:space="preserve"> Theoretical </w:t>
      </w:r>
      <w:r>
        <w:rPr>
          <w:rFonts w:hint="eastAsia" w:eastAsia="宋体"/>
          <w:lang w:val="en-US" w:eastAsia="zh-CN"/>
        </w:rPr>
        <w:t>f</w:t>
      </w:r>
      <w:r>
        <w:t>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b/>
          <w:color w:val="000000"/>
          <w:sz w:val="18"/>
          <w:szCs w:val="18"/>
          <w:lang w:bidi="ar-SA"/>
        </w:rPr>
      </w:pPr>
      <w:r>
        <w:rPr>
          <w:rFonts w:cs="Times New Roman"/>
          <w:color w:val="000000"/>
          <w:sz w:val="18"/>
          <w:szCs w:val="18"/>
          <w:lang w:bidi="ar-SA"/>
        </w:rPr>
        <w:t>Human behavior is complex. The relationship between behavior and attitude has been a topic of interest within the field of human psychology</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Holbrook</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w:t>
      </w:r>
      <w:r>
        <w:rPr>
          <w:rFonts w:hint="eastAsia" w:eastAsia="宋体" w:cs="Times New Roman"/>
          <w:color w:val="000000"/>
          <w:sz w:val="18"/>
          <w:szCs w:val="18"/>
          <w:lang w:val="en-US" w:eastAsia="zh-CN" w:bidi="ar-SA"/>
        </w:rPr>
        <w:t>[</w:t>
      </w:r>
      <w:r>
        <w:rPr>
          <w:rFonts w:cs="Times New Roman"/>
          <w:color w:val="0000FF"/>
          <w:sz w:val="18"/>
          <w:szCs w:val="18"/>
          <w:lang w:bidi="ar-SA"/>
        </w:rPr>
        <w:t>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TPB has been widely used to predict a person’s intentions to participate in a specific behavior related to environmental behavioral research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cs="Times New Roman"/>
          <w:color w:val="0000FF"/>
          <w:sz w:val="18"/>
          <w:szCs w:val="18"/>
          <w:lang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Hage</w:t>
      </w:r>
      <w:r>
        <w:rPr>
          <w:rFonts w:hint="eastAsia" w:eastAsia="宋体" w:cs="Times New Roman"/>
          <w:color w:val="000000"/>
          <w:sz w:val="18"/>
          <w:szCs w:val="18"/>
          <w:lang w:val="en-US" w:eastAsia="zh-CN" w:bidi="ar-SA"/>
        </w:rPr>
        <w:t xml:space="preserve"> and </w:t>
      </w:r>
      <w:r>
        <w:rPr>
          <w:rFonts w:cs="Times New Roman"/>
          <w:color w:val="000000"/>
          <w:sz w:val="18"/>
          <w:szCs w:val="18"/>
          <w:lang w:bidi="ar-SA"/>
        </w:rPr>
        <w:t>S</w:t>
      </w:r>
      <w:r>
        <w:rPr>
          <w:rFonts w:hint="eastAsia" w:eastAsia="宋体" w:cs="Times New Roman"/>
          <w:color w:val="000000"/>
          <w:sz w:val="18"/>
          <w:szCs w:val="18"/>
          <w:lang w:val="en-US" w:eastAsia="zh-CN" w:bidi="ar-SA"/>
        </w:rPr>
        <w:t>o</w:t>
      </w:r>
      <w:r>
        <w:rPr>
          <w:rFonts w:cs="Times New Roman"/>
          <w:color w:val="000000"/>
          <w:sz w:val="18"/>
          <w:szCs w:val="18"/>
          <w:lang w:bidi="ar-SA"/>
        </w:rPr>
        <w:t>derholm</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Figure </w:t>
      </w:r>
      <w:r>
        <w:rPr>
          <w:rFonts w:cs="Times New Roman"/>
          <w:color w:val="0000FF"/>
          <w:sz w:val="18"/>
          <w:szCs w:val="18"/>
          <w:lang w:bidi="ar-SA"/>
        </w:rPr>
        <w:t xml:space="preserve">2 </w:t>
      </w:r>
      <w:r>
        <w:rPr>
          <w:rFonts w:cs="Times New Roman"/>
          <w:color w:val="000000"/>
          <w:sz w:val="18"/>
          <w:szCs w:val="18"/>
          <w:lang w:bidi="ar-SA"/>
        </w:rPr>
        <w:t>shows the TPB model as conceived by Chanda</w:t>
      </w:r>
      <w:r>
        <w:rPr>
          <w:rFonts w:hint="eastAsia" w:cs="Times New Roman"/>
          <w:color w:val="000000"/>
          <w:sz w:val="18"/>
          <w:szCs w:val="18"/>
          <w:lang w:val="en-US"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Theory of planned behavior</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r>
        <w:t>3. Research Methodology</w:t>
      </w:r>
    </w:p>
    <w:p>
      <w:pPr>
        <w:rPr>
          <w:lang w:bidi="ar-SA"/>
        </w:rPr>
      </w:pPr>
    </w:p>
    <w:p>
      <w:pPr>
        <w:pStyle w:val="3"/>
        <w:spacing w:before="0"/>
        <w:jc w:val="both"/>
      </w:pPr>
      <w:r>
        <w:t xml:space="preserve">3.1. Research </w:t>
      </w:r>
      <w:r>
        <w:rPr>
          <w:rFonts w:hint="eastAsia" w:eastAsia="宋体"/>
          <w:lang w:val="en-US" w:eastAsia="zh-CN"/>
        </w:rPr>
        <w:t>d</w:t>
      </w:r>
      <w:r>
        <w:t>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rPr>
          <w:b w:val="0"/>
          <w:bCs w:val="0"/>
          <w:i/>
          <w:iCs/>
        </w:rPr>
      </w:pPr>
      <w:r>
        <w:rPr>
          <w:b w:val="0"/>
          <w:bCs w:val="0"/>
          <w:i/>
          <w:iCs/>
        </w:rPr>
        <w:t>3.</w:t>
      </w:r>
      <w:r>
        <w:rPr>
          <w:rFonts w:hint="eastAsia" w:eastAsia="宋体"/>
          <w:b w:val="0"/>
          <w:bCs w:val="0"/>
          <w:i/>
          <w:iCs/>
          <w:lang w:val="en-US" w:eastAsia="zh-CN"/>
        </w:rPr>
        <w:t>2.1</w:t>
      </w:r>
      <w:r>
        <w:rPr>
          <w:b w:val="0"/>
          <w:bCs w:val="0"/>
          <w:i/>
          <w:iCs/>
        </w:rPr>
        <w:t>.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both"/>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pPr>
      <w:r>
        <w:t>4. Conclusion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480" w:firstLineChars="200"/>
        <w:jc w:val="both"/>
        <w:rPr>
          <w:rFonts w:cs="Times New Roman"/>
        </w:rPr>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pStyle w:val="3"/>
        <w:spacing w:before="0"/>
        <w:jc w:val="both"/>
      </w:pPr>
      <w:r>
        <w:t>References</w:t>
      </w:r>
    </w:p>
    <w:p>
      <w:pPr>
        <w:pStyle w:val="388"/>
        <w:numPr>
          <w:ilvl w:val="0"/>
          <w:numId w:val="0"/>
        </w:numPr>
        <w:ind w:left="360" w:hanging="360"/>
      </w:pP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 </w:t>
      </w:r>
      <w:r>
        <w:t xml:space="preserve">Ajzen, I. (1991). The theory of planned behavior. </w:t>
      </w:r>
      <w:r>
        <w:rPr>
          <w:i/>
        </w:rPr>
        <w:t>Organizational Behavior and Human Decision Processes</w:t>
      </w:r>
      <w:r>
        <w:t>, 50(2), 179–211.</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[2] </w:t>
      </w:r>
      <w:r>
        <w:t xml:space="preserve">Ajzen, I., &amp; Fishbein, M. (1980). </w:t>
      </w:r>
      <w:r>
        <w:rPr>
          <w:i/>
        </w:rPr>
        <w:t>Understanding attitudes and predicting social behavior</w:t>
      </w:r>
      <w:r>
        <w:t>. Prentice-Hall.</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[3] </w:t>
      </w:r>
      <w:r>
        <w:t xml:space="preserve">Akinbote, O. (2007). Some Nigerian primary school pupils’ knowledge, attitude and practices on water pollution. </w:t>
      </w:r>
      <w:r>
        <w:rPr>
          <w:i/>
        </w:rPr>
        <w:t>The Social Science</w:t>
      </w:r>
      <w:r>
        <w:t>, 2(1), 283–286.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[4] </w:t>
      </w: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[5] </w:t>
      </w: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rPr>
          <w:rStyle w:val="215"/>
        </w:rPr>
      </w:pPr>
      <w:r>
        <w:rPr>
          <w:rFonts w:hint="eastAsia" w:eastAsia="宋体"/>
          <w:lang w:val="en-US" w:eastAsia="zh-CN"/>
        </w:rPr>
        <w:t xml:space="preserve">[6] </w:t>
      </w: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[7] </w:t>
      </w:r>
      <w:r>
        <w:t xml:space="preserve">Department of Curriculum Research and Development. (2013). </w:t>
      </w:r>
      <w:r>
        <w:rPr>
          <w:i/>
        </w:rPr>
        <w:t>Curriculum framework of environmental science from class pre-primary to XII</w:t>
      </w:r>
      <w:r>
        <w:t>. Ministry of Education, Royal Government of Bhutan.</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[8] </w:t>
      </w: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[9] </w:t>
      </w:r>
      <w:r>
        <w:t xml:space="preserve">Detraz, N. (2017). </w:t>
      </w:r>
      <w:r>
        <w:rPr>
          <w:i/>
        </w:rPr>
        <w:t>Gender and environment</w:t>
      </w:r>
      <w:r>
        <w:t xml:space="preserve">. Polity </w:t>
      </w:r>
      <w:r>
        <w:rPr>
          <w:rFonts w:eastAsia="宋体"/>
          <w:lang w:eastAsia="zh-CN"/>
        </w:rPr>
        <w:t>P</w:t>
      </w:r>
      <w:r>
        <w:t>ress.</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[10] </w:t>
      </w: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jc w:val="left"/>
        <w:textAlignment w:val="auto"/>
        <w:rPr>
          <w:color w:val="0000FF"/>
        </w:rPr>
      </w:pPr>
      <w:r>
        <w:rPr>
          <w:rFonts w:hint="eastAsia" w:eastAsia="宋体"/>
          <w:lang w:val="en-US" w:eastAsia="zh-CN"/>
        </w:rPr>
        <w:t xml:space="preserve">[11] </w:t>
      </w: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[12] </w:t>
      </w: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keepNext w:val="0"/>
        <w:keepLines w:val="0"/>
        <w:pageBreakBefore w:val="0"/>
        <w:widowControl/>
        <w:kinsoku/>
        <w:wordWrap/>
        <w:overflowPunct/>
        <w:topLinePunct w:val="0"/>
        <w:autoSpaceDE/>
        <w:autoSpaceDN/>
        <w:bidi w:val="0"/>
        <w:adjustRightInd/>
        <w:snapToGrid/>
        <w:ind w:left="0" w:hanging="360" w:hangingChars="200"/>
        <w:textAlignment w:val="auto"/>
        <w:rPr>
          <w:rFonts w:cs="Times New Roman"/>
          <w:sz w:val="18"/>
          <w:szCs w:val="18"/>
        </w:rPr>
      </w:pPr>
    </w:p>
    <w:sectPr>
      <w:type w:val="continuous"/>
      <w:pgSz w:w="12240" w:h="15840"/>
      <w:pgMar w:top="1440" w:right="1440" w:bottom="1440" w:left="1440" w:header="709" w:footer="709"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MS UI Gothic"/>
    <w:panose1 w:val="02020609040205080304"/>
    <w:charset w:val="80"/>
    <w:family w:val="roman"/>
    <w:pitch w:val="default"/>
    <w:sig w:usb0="00000000" w:usb1="00000000" w:usb2="08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4</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cs="Times New Roman"/>
        <w:sz w:val="20"/>
        <w:szCs w:val="20"/>
        <w:lang w:eastAsia="zh-CN"/>
      </w:rPr>
      <w:t xml:space="preserve">Journal of Computational and Cognitive Engineering </w:t>
    </w:r>
    <w:r>
      <w:rPr>
        <w:rFonts w:hint="eastAsia" w:cs="Times New Roman"/>
        <w:sz w:val="20"/>
        <w:szCs w:val="20"/>
        <w:lang w:eastAsia="zh-CN"/>
      </w:rPr>
      <w:t xml:space="preserve"> </w:t>
    </w:r>
    <w:r>
      <w:rPr>
        <w:rFonts w:cs="Times New Roman"/>
        <w:sz w:val="20"/>
        <w:szCs w:val="20"/>
      </w:rPr>
      <w:t xml:space="preserve">Vol. XX </w:t>
    </w:r>
    <w:r>
      <w:rPr>
        <w:rFonts w:hint="eastAsia" w:eastAsia="宋体" w:cs="Times New Roman"/>
        <w:sz w:val="20"/>
        <w:szCs w:val="20"/>
        <w:lang w:eastAsia="zh-CN"/>
      </w:rPr>
      <w:t xml:space="preserve"> </w:t>
    </w:r>
    <w:r>
      <w:rPr>
        <w:rFonts w:cs="Times New Roman"/>
        <w:sz w:val="20"/>
        <w:szCs w:val="20"/>
      </w:rPr>
      <w:t xml:space="preserve">Iss. XX </w:t>
    </w:r>
    <w:r>
      <w:rPr>
        <w:rFonts w:hint="eastAsia" w:eastAsia="宋体" w:cs="Times New Roman"/>
        <w:sz w:val="20"/>
        <w:szCs w:val="20"/>
        <w:lang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0YTI1NjdlNWNmZjUwM2Y5YzZiZjEzNTdkNTBjNmI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8E5"/>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0C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14BC"/>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21A270B"/>
    <w:rsid w:val="034759E4"/>
    <w:rsid w:val="03766DF0"/>
    <w:rsid w:val="05D9297D"/>
    <w:rsid w:val="0628472F"/>
    <w:rsid w:val="0A0E26B4"/>
    <w:rsid w:val="0A9926DB"/>
    <w:rsid w:val="0A996656"/>
    <w:rsid w:val="0B8D0492"/>
    <w:rsid w:val="0B9F51F8"/>
    <w:rsid w:val="0C112E71"/>
    <w:rsid w:val="0D336E17"/>
    <w:rsid w:val="0F587009"/>
    <w:rsid w:val="0FEA0519"/>
    <w:rsid w:val="12C75CE2"/>
    <w:rsid w:val="188C399C"/>
    <w:rsid w:val="192D0BBE"/>
    <w:rsid w:val="1B2A61E4"/>
    <w:rsid w:val="1E775CA0"/>
    <w:rsid w:val="1FA140B4"/>
    <w:rsid w:val="26EA4592"/>
    <w:rsid w:val="272F40C7"/>
    <w:rsid w:val="29565868"/>
    <w:rsid w:val="2BA70B16"/>
    <w:rsid w:val="2C2E4F21"/>
    <w:rsid w:val="2C6D2698"/>
    <w:rsid w:val="34F90CBC"/>
    <w:rsid w:val="3687595A"/>
    <w:rsid w:val="370A0339"/>
    <w:rsid w:val="393B0C7E"/>
    <w:rsid w:val="3D3879AE"/>
    <w:rsid w:val="3E497C2B"/>
    <w:rsid w:val="40C32E63"/>
    <w:rsid w:val="41BF7352"/>
    <w:rsid w:val="43216D76"/>
    <w:rsid w:val="45FD50F5"/>
    <w:rsid w:val="46045961"/>
    <w:rsid w:val="470C47C3"/>
    <w:rsid w:val="48ED3A75"/>
    <w:rsid w:val="49085071"/>
    <w:rsid w:val="49A63576"/>
    <w:rsid w:val="4ABE526B"/>
    <w:rsid w:val="4B321EE0"/>
    <w:rsid w:val="4C3A6C8B"/>
    <w:rsid w:val="4D153868"/>
    <w:rsid w:val="508E3509"/>
    <w:rsid w:val="51EF56D3"/>
    <w:rsid w:val="52E73CE8"/>
    <w:rsid w:val="56E9366F"/>
    <w:rsid w:val="5B1038C0"/>
    <w:rsid w:val="5B966FB7"/>
    <w:rsid w:val="5BBB1A7E"/>
    <w:rsid w:val="5F3538F6"/>
    <w:rsid w:val="609B1E7E"/>
    <w:rsid w:val="60CA75BA"/>
    <w:rsid w:val="6A58367D"/>
    <w:rsid w:val="6C062A91"/>
    <w:rsid w:val="6FE2278B"/>
    <w:rsid w:val="74C447E3"/>
    <w:rsid w:val="75F0011F"/>
    <w:rsid w:val="78522E19"/>
    <w:rsid w:val="79464C25"/>
    <w:rsid w:val="7B187EFC"/>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qFormat/>
    <w:uiPriority w:val="0"/>
    <w:pPr>
      <w:ind w:left="1080" w:hanging="360"/>
      <w:contextualSpacing/>
    </w:pPr>
  </w:style>
  <w:style w:type="paragraph" w:styleId="13">
    <w:name w:val="toc 7"/>
    <w:basedOn w:val="1"/>
    <w:next w:val="1"/>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qFormat/>
    <w:uiPriority w:val="0"/>
    <w:rPr>
      <w:szCs w:val="24"/>
      <w:lang w:bidi="ar-SA"/>
    </w:rPr>
  </w:style>
  <w:style w:type="paragraph" w:styleId="31">
    <w:name w:val="Body Text 3"/>
    <w:basedOn w:val="1"/>
    <w:link w:val="355"/>
    <w:semiHidden/>
    <w:unhideWhenUsed/>
    <w:qFormat/>
    <w:uiPriority w:val="0"/>
    <w:pPr>
      <w:spacing w:after="120"/>
    </w:pPr>
    <w:rPr>
      <w:sz w:val="16"/>
      <w:szCs w:val="16"/>
    </w:rPr>
  </w:style>
  <w:style w:type="paragraph" w:styleId="32">
    <w:name w:val="List Bullet 3"/>
    <w:basedOn w:val="1"/>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qFormat/>
    <w:uiPriority w:val="0"/>
    <w:pPr>
      <w:ind w:left="480"/>
    </w:pPr>
  </w:style>
  <w:style w:type="paragraph" w:styleId="44">
    <w:name w:val="Plain Text"/>
    <w:basedOn w:val="1"/>
    <w:link w:val="302"/>
    <w:qFormat/>
    <w:uiPriority w:val="0"/>
  </w:style>
  <w:style w:type="paragraph" w:styleId="45">
    <w:name w:val="List Bullet 5"/>
    <w:basedOn w:val="1"/>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qFormat/>
    <w:uiPriority w:val="0"/>
    <w:pPr>
      <w:tabs>
        <w:tab w:val="center" w:pos="4680"/>
        <w:tab w:val="right" w:pos="9360"/>
      </w:tabs>
    </w:pPr>
    <w:rPr>
      <w:szCs w:val="24"/>
      <w:lang w:bidi="ar-SA"/>
    </w:rPr>
  </w:style>
  <w:style w:type="paragraph" w:styleId="57">
    <w:name w:val="Signature"/>
    <w:basedOn w:val="1"/>
    <w:link w:val="299"/>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qFormat/>
    <w:uiPriority w:val="0"/>
    <w:pPr>
      <w:spacing w:after="120"/>
      <w:ind w:left="1440"/>
      <w:contextualSpacing/>
    </w:pPr>
  </w:style>
  <w:style w:type="paragraph" w:styleId="60">
    <w:name w:val="toc 4"/>
    <w:basedOn w:val="1"/>
    <w:next w:val="1"/>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qFormat/>
    <w:uiPriority w:val="0"/>
    <w:pPr>
      <w:numPr>
        <w:ilvl w:val="0"/>
        <w:numId w:val="2"/>
      </w:numPr>
      <w:contextualSpacing/>
    </w:pPr>
  </w:style>
  <w:style w:type="paragraph" w:styleId="64">
    <w:name w:val="List"/>
    <w:basedOn w:val="1"/>
    <w:qFormat/>
    <w:uiPriority w:val="0"/>
    <w:pPr>
      <w:ind w:left="360" w:hanging="360"/>
      <w:contextualSpacing/>
    </w:pPr>
  </w:style>
  <w:style w:type="paragraph" w:styleId="65">
    <w:name w:val="footnote text"/>
    <w:basedOn w:val="1"/>
    <w:link w:val="313"/>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semiHidden/>
    <w:unhideWhenUsed/>
    <w:qFormat/>
    <w:uiPriority w:val="0"/>
    <w:pPr>
      <w:spacing w:after="0"/>
    </w:pPr>
  </w:style>
  <w:style w:type="paragraph" w:styleId="72">
    <w:name w:val="toc 2"/>
    <w:basedOn w:val="1"/>
    <w:next w:val="1"/>
    <w:qFormat/>
    <w:uiPriority w:val="0"/>
    <w:pPr>
      <w:ind w:left="240"/>
    </w:pPr>
  </w:style>
  <w:style w:type="paragraph" w:styleId="73">
    <w:name w:val="toc 9"/>
    <w:basedOn w:val="1"/>
    <w:next w:val="1"/>
    <w:qFormat/>
    <w:uiPriority w:val="0"/>
    <w:pPr>
      <w:ind w:left="1920"/>
    </w:pPr>
  </w:style>
  <w:style w:type="paragraph" w:styleId="74">
    <w:name w:val="Body Text 2"/>
    <w:basedOn w:val="1"/>
    <w:link w:val="356"/>
    <w:semiHidden/>
    <w:unhideWhenUsed/>
    <w:qFormat/>
    <w:uiPriority w:val="0"/>
    <w:pPr>
      <w:spacing w:after="120"/>
    </w:pPr>
  </w:style>
  <w:style w:type="paragraph" w:styleId="75">
    <w:name w:val="List 4"/>
    <w:basedOn w:val="1"/>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8">
    <w:name w:val="Table Theme"/>
    <w:basedOn w:val="86"/>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spacing w:after="200" w:line="480" w:lineRule="auto"/>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semiHidden/>
    <w:unhideWhenUsed/>
    <w:qFormat/>
    <w:uiPriority w:val="0"/>
    <w:pPr>
      <w:spacing w:after="200" w:line="480" w:lineRule="auto"/>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spacing w:after="200" w:line="480" w:lineRule="auto"/>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semiHidden/>
    <w:unhideWhenUsed/>
    <w:qFormat/>
    <w:uiPriority w:val="0"/>
    <w:pPr>
      <w:spacing w:after="200" w:line="480" w:lineRule="auto"/>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spacing w:after="200" w:line="480" w:lineRule="auto"/>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qFormat/>
    <w:uiPriority w:val="60"/>
    <w:rPr>
      <w:color w:val="2E75B6" w:themeColor="accent5" w:themeShade="BF"/>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CellMar>
        <w:top w:w="0" w:type="dxa"/>
        <w:left w:w="108" w:type="dxa"/>
        <w:bottom w:w="0" w:type="dxa"/>
        <w:right w:w="108" w:type="dxa"/>
      </w:tblCellMar>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semiHidden/>
    <w:unhideWhenUsed/>
    <w:qFormat/>
    <w:uiPriority w:val="0"/>
    <w:rPr>
      <w:rFonts w:ascii="Times New Roman" w:hAnsi="Times New Roman"/>
      <w:sz w:val="24"/>
      <w:szCs w:val="16"/>
    </w:rPr>
  </w:style>
  <w:style w:type="character" w:styleId="218">
    <w:name w:val="HTML Cite"/>
    <w:basedOn w:val="209"/>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semiHidden/>
    <w:unhideWhenUsed/>
    <w:qFormat/>
    <w:uiPriority w:val="0"/>
    <w:rPr>
      <w:rFonts w:ascii="Consolas" w:hAnsi="Consolas"/>
      <w:sz w:val="24"/>
      <w:szCs w:val="24"/>
    </w:rPr>
  </w:style>
  <w:style w:type="character" w:customStyle="1" w:styleId="221">
    <w:name w:val="标题 1 Char"/>
    <w:link w:val="3"/>
    <w:qFormat/>
    <w:uiPriority w:val="9"/>
    <w:rPr>
      <w:b/>
      <w:bCs/>
      <w:color w:val="21798E"/>
      <w:sz w:val="22"/>
      <w:szCs w:val="28"/>
    </w:rPr>
  </w:style>
  <w:style w:type="character" w:customStyle="1" w:styleId="222">
    <w:name w:val="标题 2 Char"/>
    <w:link w:val="4"/>
    <w:autoRedefine/>
    <w:qFormat/>
    <w:uiPriority w:val="9"/>
    <w:rPr>
      <w:bCs/>
      <w:color w:val="2DA2BF"/>
      <w:szCs w:val="26"/>
    </w:rPr>
  </w:style>
  <w:style w:type="character" w:customStyle="1" w:styleId="223">
    <w:name w:val="标题 3 Char"/>
    <w:link w:val="5"/>
    <w:autoRedefine/>
    <w:qFormat/>
    <w:uiPriority w:val="9"/>
    <w:rPr>
      <w:rFonts w:ascii="Times New Roman" w:hAnsi="Times New Roman"/>
      <w:b/>
      <w:bCs/>
      <w:color w:val="2DA2BF"/>
      <w:sz w:val="24"/>
    </w:rPr>
  </w:style>
  <w:style w:type="character" w:customStyle="1" w:styleId="224">
    <w:name w:val="标题 5 Char"/>
    <w:link w:val="7"/>
    <w:qFormat/>
    <w:uiPriority w:val="9"/>
    <w:rPr>
      <w:rFonts w:ascii="Times New Roman" w:hAnsi="Times New Roman"/>
      <w:color w:val="16505E"/>
      <w:sz w:val="24"/>
    </w:rPr>
  </w:style>
  <w:style w:type="character" w:customStyle="1" w:styleId="225">
    <w:name w:val="标题 6 Char"/>
    <w:link w:val="8"/>
    <w:qFormat/>
    <w:uiPriority w:val="9"/>
    <w:rPr>
      <w:rFonts w:ascii="Times New Roman" w:hAnsi="Times New Roman"/>
      <w:i/>
      <w:iCs/>
      <w:color w:val="16505E"/>
      <w:sz w:val="24"/>
    </w:rPr>
  </w:style>
  <w:style w:type="character" w:customStyle="1" w:styleId="226">
    <w:name w:val="批注文字 Char"/>
    <w:link w:val="28"/>
    <w:semiHidden/>
    <w:qFormat/>
    <w:uiPriority w:val="0"/>
    <w:rPr>
      <w:rFonts w:ascii="Times New Roman" w:hAnsi="Times New Roman" w:cs="Cambria"/>
      <w:sz w:val="24"/>
      <w:lang w:val="en-NZ"/>
    </w:rPr>
  </w:style>
  <w:style w:type="character" w:customStyle="1" w:styleId="227">
    <w:name w:val="标题 4 Char"/>
    <w:link w:val="6"/>
    <w:qFormat/>
    <w:uiPriority w:val="9"/>
    <w:rPr>
      <w:rFonts w:ascii="Times New Roman" w:hAnsi="Times New Roman"/>
      <w:bCs/>
      <w:i/>
      <w:iCs/>
      <w:color w:val="2DA2BF"/>
      <w:sz w:val="24"/>
    </w:rPr>
  </w:style>
  <w:style w:type="character" w:customStyle="1" w:styleId="228">
    <w:name w:val="标题 7 Char"/>
    <w:link w:val="9"/>
    <w:qFormat/>
    <w:uiPriority w:val="9"/>
    <w:rPr>
      <w:rFonts w:ascii="Times New Roman" w:hAnsi="Times New Roman"/>
      <w:i/>
      <w:iCs/>
      <w:color w:val="404040"/>
      <w:sz w:val="24"/>
    </w:rPr>
  </w:style>
  <w:style w:type="character" w:customStyle="1" w:styleId="229">
    <w:name w:val="标题 8 Char"/>
    <w:link w:val="10"/>
    <w:autoRedefine/>
    <w:qFormat/>
    <w:uiPriority w:val="9"/>
    <w:rPr>
      <w:rFonts w:ascii="Times New Roman" w:hAnsi="Times New Roman"/>
      <w:color w:val="2DA2BF"/>
      <w:sz w:val="24"/>
    </w:rPr>
  </w:style>
  <w:style w:type="character" w:customStyle="1" w:styleId="230">
    <w:name w:val="标题 9 Char"/>
    <w:link w:val="11"/>
    <w:autoRedefine/>
    <w:qFormat/>
    <w:uiPriority w:val="9"/>
    <w:rPr>
      <w:rFonts w:ascii="Times New Roman" w:hAnsi="Times New Roman"/>
      <w:i/>
      <w:iCs/>
      <w:color w:val="404040"/>
      <w:sz w:val="24"/>
    </w:rPr>
  </w:style>
  <w:style w:type="paragraph" w:customStyle="1" w:styleId="231">
    <w:name w:val="FigureCaption"/>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qFormat/>
    <w:uiPriority w:val="0"/>
    <w:pPr>
      <w:shd w:val="clear" w:color="auto" w:fill="ADB9CA" w:themeFill="text2" w:themeFillTint="66"/>
    </w:pPr>
  </w:style>
  <w:style w:type="paragraph" w:customStyle="1" w:styleId="258">
    <w:name w:val="Correspondence"/>
    <w:basedOn w:val="1"/>
    <w:qFormat/>
    <w:uiPriority w:val="0"/>
  </w:style>
  <w:style w:type="paragraph" w:customStyle="1" w:styleId="259">
    <w:name w:val="SupplementaryMaterial"/>
    <w:basedOn w:val="1"/>
    <w:autoRedefine/>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Char"/>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Char"/>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Char"/>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Char"/>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Char"/>
    <w:link w:val="300"/>
    <w:qFormat/>
    <w:uiPriority w:val="29"/>
    <w:rPr>
      <w:rFonts w:ascii="Times New Roman" w:hAnsi="Times New Roman"/>
      <w:i/>
      <w:iCs/>
      <w:color w:val="000000"/>
      <w:sz w:val="24"/>
    </w:rPr>
  </w:style>
  <w:style w:type="character" w:customStyle="1" w:styleId="302">
    <w:name w:val="纯文本 Char"/>
    <w:basedOn w:val="209"/>
    <w:link w:val="44"/>
    <w:qFormat/>
    <w:uiPriority w:val="0"/>
    <w:rPr>
      <w:rFonts w:ascii="Times New Roman" w:hAnsi="Times New Roman" w:cs="Latha"/>
      <w:sz w:val="24"/>
      <w:szCs w:val="22"/>
      <w:lang w:bidi="ta-IN"/>
    </w:rPr>
  </w:style>
  <w:style w:type="character" w:customStyle="1" w:styleId="303">
    <w:name w:val="注释标题 Char"/>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Char"/>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Char"/>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Char"/>
    <w:link w:val="56"/>
    <w:qFormat/>
    <w:uiPriority w:val="0"/>
    <w:rPr>
      <w:rFonts w:cs="Latha"/>
      <w:sz w:val="24"/>
      <w:szCs w:val="24"/>
    </w:rPr>
  </w:style>
  <w:style w:type="character" w:customStyle="1" w:styleId="313">
    <w:name w:val="脚注文本 Char"/>
    <w:link w:val="65"/>
    <w:qFormat/>
    <w:uiPriority w:val="0"/>
    <w:rPr>
      <w:rFonts w:ascii="Times New Roman" w:hAnsi="Times New Roman" w:cs="Latha"/>
      <w:sz w:val="24"/>
    </w:rPr>
  </w:style>
  <w:style w:type="character" w:customStyle="1" w:styleId="314">
    <w:name w:val="页脚 Char"/>
    <w:link w:val="54"/>
    <w:qFormat/>
    <w:uiPriority w:val="99"/>
    <w:rPr>
      <w:rFonts w:cs="Latha"/>
      <w:sz w:val="24"/>
      <w:szCs w:val="24"/>
    </w:rPr>
  </w:style>
  <w:style w:type="character" w:customStyle="1" w:styleId="315">
    <w:name w:val="尾注文本 Char"/>
    <w:link w:val="51"/>
    <w:qFormat/>
    <w:uiPriority w:val="0"/>
    <w:rPr>
      <w:rFonts w:ascii="Times New Roman" w:hAnsi="Times New Roman" w:cs="Latha"/>
      <w:sz w:val="24"/>
    </w:rPr>
  </w:style>
  <w:style w:type="character" w:customStyle="1" w:styleId="316">
    <w:name w:val="电子邮件签名 Char"/>
    <w:link w:val="19"/>
    <w:qFormat/>
    <w:uiPriority w:val="0"/>
    <w:rPr>
      <w:rFonts w:cs="Latha"/>
      <w:sz w:val="24"/>
      <w:szCs w:val="24"/>
    </w:rPr>
  </w:style>
  <w:style w:type="character" w:customStyle="1" w:styleId="317">
    <w:name w:val="文档结构图 Char"/>
    <w:link w:val="26"/>
    <w:qFormat/>
    <w:uiPriority w:val="0"/>
    <w:rPr>
      <w:rFonts w:ascii="Tahoma" w:hAnsi="Tahoma" w:cs="Tahoma"/>
      <w:sz w:val="16"/>
      <w:szCs w:val="16"/>
    </w:rPr>
  </w:style>
  <w:style w:type="character" w:customStyle="1" w:styleId="318">
    <w:name w:val="日期 Char"/>
    <w:link w:val="49"/>
    <w:qFormat/>
    <w:uiPriority w:val="0"/>
    <w:rPr>
      <w:rFonts w:cs="Latha"/>
      <w:sz w:val="24"/>
      <w:szCs w:val="24"/>
    </w:rPr>
  </w:style>
  <w:style w:type="character" w:customStyle="1" w:styleId="319">
    <w:name w:val="批注主题 Char"/>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Char"/>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Char"/>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Char"/>
    <w:basedOn w:val="209"/>
    <w:link w:val="78"/>
    <w:semiHidden/>
    <w:qFormat/>
    <w:uiPriority w:val="0"/>
    <w:rPr>
      <w:rFonts w:ascii="Consolas" w:hAnsi="Consolas" w:cs="Latha"/>
      <w:lang w:bidi="ta-IN"/>
    </w:rPr>
  </w:style>
  <w:style w:type="character" w:customStyle="1" w:styleId="345">
    <w:name w:val="HTML 地址 Char"/>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Char"/>
    <w:basedOn w:val="209"/>
    <w:link w:val="68"/>
    <w:semiHidden/>
    <w:qFormat/>
    <w:uiPriority w:val="0"/>
    <w:rPr>
      <w:rFonts w:cs="Latha"/>
      <w:sz w:val="16"/>
      <w:szCs w:val="16"/>
      <w:lang w:bidi="ta-IN"/>
    </w:rPr>
  </w:style>
  <w:style w:type="character" w:customStyle="1" w:styleId="351">
    <w:name w:val="正文文本缩进 2 Char"/>
    <w:basedOn w:val="209"/>
    <w:link w:val="50"/>
    <w:semiHidden/>
    <w:qFormat/>
    <w:uiPriority w:val="0"/>
    <w:rPr>
      <w:rFonts w:cs="Latha"/>
      <w:sz w:val="22"/>
      <w:szCs w:val="22"/>
      <w:lang w:bidi="ta-IN"/>
    </w:rPr>
  </w:style>
  <w:style w:type="character" w:customStyle="1" w:styleId="352">
    <w:name w:val="正文文本缩进 Char"/>
    <w:basedOn w:val="209"/>
    <w:link w:val="34"/>
    <w:semiHidden/>
    <w:qFormat/>
    <w:uiPriority w:val="0"/>
    <w:rPr>
      <w:rFonts w:cs="Latha"/>
      <w:sz w:val="22"/>
      <w:szCs w:val="22"/>
      <w:lang w:bidi="ta-IN"/>
    </w:rPr>
  </w:style>
  <w:style w:type="character" w:customStyle="1" w:styleId="353">
    <w:name w:val="正文首行缩进 2 Char"/>
    <w:basedOn w:val="352"/>
    <w:link w:val="85"/>
    <w:semiHidden/>
    <w:qFormat/>
    <w:uiPriority w:val="0"/>
    <w:rPr>
      <w:rFonts w:cs="Latha"/>
      <w:sz w:val="22"/>
      <w:szCs w:val="22"/>
      <w:lang w:bidi="ta-IN"/>
    </w:rPr>
  </w:style>
  <w:style w:type="character" w:customStyle="1" w:styleId="354">
    <w:name w:val="正文首行缩进 Char"/>
    <w:basedOn w:val="323"/>
    <w:link w:val="84"/>
    <w:semiHidden/>
    <w:qFormat/>
    <w:uiPriority w:val="0"/>
    <w:rPr>
      <w:rFonts w:ascii="Times New Roman" w:hAnsi="Times New Roman" w:cs="Latha"/>
      <w:sz w:val="22"/>
      <w:szCs w:val="22"/>
      <w:lang w:bidi="ta-IN"/>
    </w:rPr>
  </w:style>
  <w:style w:type="character" w:customStyle="1" w:styleId="355">
    <w:name w:val="正文文本 3 Char"/>
    <w:basedOn w:val="209"/>
    <w:link w:val="31"/>
    <w:semiHidden/>
    <w:qFormat/>
    <w:uiPriority w:val="0"/>
    <w:rPr>
      <w:rFonts w:cs="Latha"/>
      <w:sz w:val="16"/>
      <w:szCs w:val="16"/>
      <w:lang w:bidi="ta-IN"/>
    </w:rPr>
  </w:style>
  <w:style w:type="character" w:customStyle="1" w:styleId="356">
    <w:name w:val="正文文本 2 Char"/>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qFormat/>
    <w:uiPriority w:val="0"/>
    <w:pPr>
      <w:jc w:val="center"/>
    </w:pPr>
    <w:rPr>
      <w:rFonts w:ascii="Times New Roman" w:hAnsi="Times New Roman" w:eastAsia="宋体" w:cs="Times New Roman"/>
      <w:lang w:val="en-US" w:eastAsia="en-US" w:bidi="ar-SA"/>
    </w:rPr>
  </w:style>
  <w:style w:type="paragraph" w:customStyle="1" w:styleId="388">
    <w:name w:val="references"/>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semiHidden/>
    <w:unhideWhenUsed/>
    <w:qFormat/>
    <w:uiPriority w:val="99"/>
    <w:rPr>
      <w:color w:val="605E5C"/>
      <w:shd w:val="clear" w:color="auto" w:fill="E1DFDD"/>
    </w:rPr>
  </w:style>
  <w:style w:type="paragraph" w:customStyle="1" w:styleId="391">
    <w:name w:val="Default"/>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5A79-3D00-40C5-9DEB-F2AFD4306492}">
  <ds:schemaRefs/>
</ds:datastoreItem>
</file>

<file path=docProps/app.xml><?xml version="1.0" encoding="utf-8"?>
<Properties xmlns="http://schemas.openxmlformats.org/officeDocument/2006/extended-properties" xmlns:vt="http://schemas.openxmlformats.org/officeDocument/2006/docPropsVTypes">
  <Template>JCCE_Template --OTH (1)</Template>
  <Company>微软中国</Company>
  <Pages>5</Pages>
  <Words>2047</Words>
  <Characters>11955</Characters>
  <Lines>104</Lines>
  <Paragraphs>29</Paragraphs>
  <TotalTime>2</TotalTime>
  <ScaleCrop>false</ScaleCrop>
  <LinksUpToDate>false</LinksUpToDate>
  <CharactersWithSpaces>13933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Winter Rose.</cp:lastModifiedBy>
  <dcterms:modified xsi:type="dcterms:W3CDTF">2024-06-06T06:18:21Z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6D50618E3C7147FE894BFE5F45CCA389_13</vt:lpwstr>
  </property>
  <property fmtid="{D5CDD505-2E9C-101B-9397-08002B2CF9AE}" pid="4" name="KSOProductBuildVer">
    <vt:lpwstr>2052-12.1.0.16929</vt:lpwstr>
  </property>
</Properties>
</file>